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DB" w:rsidRDefault="00A508F9" w:rsidP="00A508F9">
      <w:pPr>
        <w:pStyle w:val="Ttulo1"/>
        <w:tabs>
          <w:tab w:val="clear" w:pos="-720"/>
          <w:tab w:val="center" w:pos="4478"/>
        </w:tabs>
        <w:jc w:val="right"/>
        <w:rPr>
          <w:b w:val="0"/>
          <w:u w:val="none"/>
        </w:rPr>
      </w:pPr>
      <w:r>
        <w:rPr>
          <w:b w:val="0"/>
          <w:u w:val="none"/>
        </w:rPr>
        <w:t>Monte</w:t>
      </w:r>
      <w:bookmarkStart w:id="0" w:name="_GoBack"/>
      <w:bookmarkEnd w:id="0"/>
      <w:r>
        <w:rPr>
          <w:b w:val="0"/>
          <w:u w:val="none"/>
        </w:rPr>
        <w:t>video, 27 de j</w:t>
      </w:r>
      <w:r w:rsidR="00F11531">
        <w:rPr>
          <w:b w:val="0"/>
          <w:u w:val="none"/>
        </w:rPr>
        <w:t>ulio de 2015</w:t>
      </w:r>
    </w:p>
    <w:p w:rsidR="00B63F31" w:rsidRPr="00B63F31" w:rsidRDefault="00B63F31" w:rsidP="00B63F31">
      <w:pPr>
        <w:rPr>
          <w:lang w:val="es-ES_tradnl"/>
        </w:rPr>
      </w:pPr>
    </w:p>
    <w:p w:rsidR="00A91DDB" w:rsidRDefault="00F11531" w:rsidP="00A508F9">
      <w:pPr>
        <w:pStyle w:val="Textodenotaalfinal"/>
        <w:spacing w:line="360" w:lineRule="auto"/>
        <w:rPr>
          <w:rFonts w:ascii="Arial" w:hAnsi="Arial"/>
        </w:rPr>
      </w:pPr>
      <w:r>
        <w:rPr>
          <w:rFonts w:ascii="Arial" w:hAnsi="Arial"/>
        </w:rPr>
        <w:t>Sr. Secretario General de la</w:t>
      </w:r>
      <w:r w:rsidR="00BF6C26">
        <w:rPr>
          <w:rFonts w:ascii="Arial" w:hAnsi="Arial"/>
        </w:rPr>
        <w:t xml:space="preserve"> Junta</w:t>
      </w:r>
    </w:p>
    <w:p w:rsidR="00A91DDB" w:rsidRDefault="00BF6C26" w:rsidP="00A508F9">
      <w:pPr>
        <w:pStyle w:val="Textodenotaalfinal"/>
        <w:spacing w:line="360" w:lineRule="auto"/>
        <w:rPr>
          <w:rFonts w:ascii="Arial" w:hAnsi="Arial"/>
        </w:rPr>
      </w:pPr>
      <w:r>
        <w:rPr>
          <w:rFonts w:ascii="Arial" w:hAnsi="Arial"/>
        </w:rPr>
        <w:t>Departamental de Montevideo</w:t>
      </w:r>
    </w:p>
    <w:p w:rsidR="00A508F9" w:rsidRPr="00B63F31" w:rsidRDefault="00BF6C26" w:rsidP="00B63F31">
      <w:pPr>
        <w:pStyle w:val="Textodenotaalfinal"/>
        <w:spacing w:line="360" w:lineRule="auto"/>
        <w:rPr>
          <w:rFonts w:ascii="Arial" w:hAnsi="Arial"/>
          <w:b/>
          <w:bCs/>
          <w:spacing w:val="-3"/>
          <w:lang w:val="es-ES_tradnl"/>
        </w:rPr>
      </w:pPr>
      <w:r>
        <w:rPr>
          <w:rFonts w:ascii="Arial" w:hAnsi="Arial"/>
        </w:rPr>
        <w:t xml:space="preserve">Don </w:t>
      </w:r>
      <w:r w:rsidR="00F11531">
        <w:rPr>
          <w:rFonts w:ascii="Arial" w:hAnsi="Arial"/>
        </w:rPr>
        <w:t>Carlos R. Otero</w:t>
      </w:r>
    </w:p>
    <w:p w:rsidR="00A508F9" w:rsidRPr="00B63F31" w:rsidRDefault="00B63F31" w:rsidP="00B63F31">
      <w:pPr>
        <w:spacing w:line="360" w:lineRule="auto"/>
        <w:jc w:val="right"/>
        <w:rPr>
          <w:rFonts w:ascii="Arial" w:hAnsi="Arial" w:cs="Arial"/>
        </w:rPr>
      </w:pPr>
      <w:r w:rsidRPr="00B63F31">
        <w:rPr>
          <w:rFonts w:ascii="Arial" w:hAnsi="Arial" w:cs="Arial"/>
        </w:rPr>
        <w:t>E.E. Nº 2015-17-1-0004484</w:t>
      </w:r>
    </w:p>
    <w:p w:rsidR="00B63F31" w:rsidRPr="00B63F31" w:rsidRDefault="00B63F31" w:rsidP="00B63F31">
      <w:pPr>
        <w:spacing w:line="360" w:lineRule="auto"/>
        <w:jc w:val="right"/>
        <w:rPr>
          <w:rFonts w:ascii="Arial" w:hAnsi="Arial" w:cs="Arial"/>
        </w:rPr>
      </w:pPr>
      <w:r w:rsidRPr="00B63F31">
        <w:rPr>
          <w:rFonts w:ascii="Arial" w:hAnsi="Arial" w:cs="Arial"/>
        </w:rPr>
        <w:t>Entrada Nº 3629/15</w:t>
      </w:r>
    </w:p>
    <w:p w:rsidR="00B63F31" w:rsidRDefault="00B63F31" w:rsidP="00B63F31">
      <w:pPr>
        <w:spacing w:line="360" w:lineRule="auto"/>
        <w:jc w:val="right"/>
        <w:rPr>
          <w:rFonts w:ascii="Arial" w:hAnsi="Arial" w:cs="Arial"/>
        </w:rPr>
      </w:pPr>
      <w:r w:rsidRPr="00B63F31">
        <w:rPr>
          <w:rFonts w:ascii="Arial" w:hAnsi="Arial" w:cs="Arial"/>
        </w:rPr>
        <w:t>Oficio Nº 5855/15</w:t>
      </w:r>
    </w:p>
    <w:p w:rsidR="00B63F31" w:rsidRPr="00B63F31" w:rsidRDefault="00B63F31" w:rsidP="00B63F31">
      <w:pPr>
        <w:spacing w:line="360" w:lineRule="auto"/>
        <w:jc w:val="right"/>
        <w:rPr>
          <w:rFonts w:ascii="Arial" w:hAnsi="Arial" w:cs="Arial"/>
        </w:rPr>
      </w:pPr>
    </w:p>
    <w:p w:rsidR="00A91DDB" w:rsidRDefault="00BF6C26">
      <w:pPr>
        <w:pStyle w:val="Textoindependiente"/>
        <w:tabs>
          <w:tab w:val="clear" w:pos="-720"/>
          <w:tab w:val="center" w:pos="0"/>
        </w:tabs>
      </w:pPr>
      <w:r>
        <w:tab/>
        <w:t xml:space="preserve">                                      El Tribunal de Cuentas ha considerado vuestra consulta formulada por Nota de fecha 9 de julio de 2015, al amparo de lo dispuesto por el </w:t>
      </w:r>
      <w:r w:rsidR="00B63F31">
        <w:t>A</w:t>
      </w:r>
      <w:r>
        <w:t>rtículo 112 del TOCAF, relacionada con la Licitación P</w:t>
      </w:r>
      <w:r w:rsidR="00B63F31">
        <w:t>ública para la contratación de S</w:t>
      </w:r>
      <w:r>
        <w:t>ervicios de Seguridad y Vigilancia en el Edificio Sede y Anexos de la Junta Departamental de Montevideo, por el plazo de un año;</w:t>
      </w:r>
    </w:p>
    <w:p w:rsidR="00A91DDB" w:rsidRDefault="00BF6C26">
      <w:pPr>
        <w:pStyle w:val="Textoindependiente"/>
        <w:tabs>
          <w:tab w:val="clear" w:pos="-720"/>
          <w:tab w:val="center" w:pos="0"/>
        </w:tabs>
      </w:pPr>
      <w:r>
        <w:t>Al respecto acordó evacuar la misma en los siguientes términos:</w:t>
      </w:r>
    </w:p>
    <w:p w:rsidR="00A91DDB" w:rsidRDefault="00B63F31" w:rsidP="00B63F31">
      <w:pPr>
        <w:pStyle w:val="Textoindependiente2"/>
        <w:ind w:firstLine="851"/>
        <w:rPr>
          <w:b w:val="0"/>
        </w:rPr>
      </w:pPr>
      <w:r>
        <w:rPr>
          <w:bCs/>
        </w:rPr>
        <w:t>1</w:t>
      </w:r>
      <w:r w:rsidRPr="00B63F31">
        <w:rPr>
          <w:bCs/>
        </w:rPr>
        <w:t>)</w:t>
      </w:r>
      <w:r w:rsidR="00BF6C26">
        <w:rPr>
          <w:b w:val="0"/>
        </w:rPr>
        <w:t xml:space="preserve"> Todas las cotizaciones presentadas, superaron el monto de la Licitación Abreviada para el año de contratación, por lo tanto de confo</w:t>
      </w:r>
      <w:r>
        <w:rPr>
          <w:b w:val="0"/>
        </w:rPr>
        <w:t>rmidad con lo dispuesto por el Artículo</w:t>
      </w:r>
      <w:r w:rsidR="00BF6C26">
        <w:rPr>
          <w:b w:val="0"/>
        </w:rPr>
        <w:t xml:space="preserve"> 16 del Pliego de Condiciones deberían haber constituido garantía de mantenimiento de ofertas. Sin embargo solamente cuatro proponentes constituyeron dicha garantía, por lo que se consulta si es correcto descartar todas las propuestas que no presentaron garantía de mantenimiento de oferta.</w:t>
      </w:r>
    </w:p>
    <w:p w:rsidR="00A91DDB" w:rsidRDefault="00B63F31">
      <w:pPr>
        <w:pStyle w:val="Textoindependiente2"/>
        <w:rPr>
          <w:b w:val="0"/>
        </w:rPr>
      </w:pPr>
      <w:r>
        <w:rPr>
          <w:b w:val="0"/>
        </w:rPr>
        <w:t>El A</w:t>
      </w:r>
      <w:r w:rsidR="00BF6C26">
        <w:rPr>
          <w:b w:val="0"/>
        </w:rPr>
        <w:t xml:space="preserve">rtículo 16.2 del Pliego de Condiciones Particulares dispone: </w:t>
      </w:r>
      <w:r w:rsidR="000621BA">
        <w:rPr>
          <w:b w:val="0"/>
        </w:rPr>
        <w:t xml:space="preserve">“... </w:t>
      </w:r>
      <w:r w:rsidR="00BF6C26" w:rsidRPr="00B63F31">
        <w:rPr>
          <w:b w:val="0"/>
          <w:i/>
        </w:rPr>
        <w:t xml:space="preserve">Al presentar sus ofertas los proponentes deberán garantizar, si correspondiera, el mantenimiento de las mismas, mediante Póliza de Seguro de Fianza emitida por una empresa aseguradora instalada en Uruguay o por </w:t>
      </w:r>
      <w:r w:rsidR="000621BA" w:rsidRPr="00B63F31">
        <w:rPr>
          <w:b w:val="0"/>
          <w:i/>
        </w:rPr>
        <w:t>fianza,</w:t>
      </w:r>
      <w:r w:rsidR="00BF6C26" w:rsidRPr="00B63F31">
        <w:rPr>
          <w:b w:val="0"/>
          <w:i/>
        </w:rPr>
        <w:t xml:space="preserve"> aval, o garantía de un banco establecido en el país por un valor equivalente al 1% de la oferta de mayor valor o alternativa en su caso, incluido el I.V.A., de</w:t>
      </w:r>
      <w:r w:rsidR="000621BA">
        <w:rPr>
          <w:b w:val="0"/>
          <w:i/>
        </w:rPr>
        <w:t xml:space="preserve"> acuerdo a lo dispuesto por el A</w:t>
      </w:r>
      <w:r w:rsidR="00BF6C26" w:rsidRPr="00B63F31">
        <w:rPr>
          <w:b w:val="0"/>
          <w:i/>
        </w:rPr>
        <w:t>rtículo 64 del TOCAF</w:t>
      </w:r>
      <w:r w:rsidR="00BF6C26">
        <w:rPr>
          <w:b w:val="0"/>
        </w:rPr>
        <w:t>”</w:t>
      </w:r>
    </w:p>
    <w:p w:rsidR="00A91DDB" w:rsidRDefault="00BF6C26">
      <w:pPr>
        <w:pStyle w:val="Textoindependiente2"/>
        <w:rPr>
          <w:b w:val="0"/>
        </w:rPr>
      </w:pPr>
      <w:r>
        <w:rPr>
          <w:b w:val="0"/>
        </w:rPr>
        <w:lastRenderedPageBreak/>
        <w:t>En primer lugar,</w:t>
      </w:r>
      <w:r w:rsidR="000621BA">
        <w:rPr>
          <w:b w:val="0"/>
        </w:rPr>
        <w:t xml:space="preserve"> corresponde establecer que el Artículo</w:t>
      </w:r>
      <w:r>
        <w:rPr>
          <w:b w:val="0"/>
        </w:rPr>
        <w:t xml:space="preserve"> 16.2 del Pliego, al fijar la garantía de mantenimiento de oferta en un monto porcentual, con</w:t>
      </w:r>
      <w:r w:rsidR="000621BA">
        <w:rPr>
          <w:b w:val="0"/>
        </w:rPr>
        <w:t>traviene lo preceptuado por el A</w:t>
      </w:r>
      <w:r>
        <w:rPr>
          <w:b w:val="0"/>
        </w:rPr>
        <w:t xml:space="preserve">rtículo </w:t>
      </w:r>
      <w:r w:rsidR="000621BA">
        <w:rPr>
          <w:b w:val="0"/>
        </w:rPr>
        <w:t>64 del TOCAF, según el cual,</w:t>
      </w:r>
      <w:r>
        <w:rPr>
          <w:b w:val="0"/>
        </w:rPr>
        <w:t xml:space="preserve"> la garantía de mantenimiento de oferta debe consistir en “</w:t>
      </w:r>
      <w:r w:rsidRPr="000621BA">
        <w:rPr>
          <w:b w:val="0"/>
          <w:i/>
        </w:rPr>
        <w:t>un valor fijo en moneda nacional o extranjera que la administración deberá determinar expresamente en el pliego particular</w:t>
      </w:r>
      <w:r w:rsidRPr="000621BA">
        <w:rPr>
          <w:b w:val="0"/>
        </w:rPr>
        <w:t>”</w:t>
      </w:r>
      <w:r>
        <w:rPr>
          <w:b w:val="0"/>
        </w:rPr>
        <w:t>.</w:t>
      </w:r>
    </w:p>
    <w:p w:rsidR="00A91DDB" w:rsidRDefault="00BF6C26">
      <w:pPr>
        <w:pStyle w:val="Textoindependiente2"/>
        <w:rPr>
          <w:b w:val="0"/>
        </w:rPr>
      </w:pPr>
      <w:r>
        <w:rPr>
          <w:b w:val="0"/>
        </w:rPr>
        <w:t xml:space="preserve">En cuanto a las consecuencias de no presentar la garantía </w:t>
      </w:r>
      <w:r w:rsidR="000621BA">
        <w:rPr>
          <w:b w:val="0"/>
        </w:rPr>
        <w:t>de mantenimiento de oferta, el Artículo 64 establece que “</w:t>
      </w:r>
      <w:r w:rsidR="000621BA" w:rsidRPr="000621BA">
        <w:rPr>
          <w:b w:val="0"/>
          <w:i/>
        </w:rPr>
        <w:t>n</w:t>
      </w:r>
      <w:r w:rsidRPr="000621BA">
        <w:rPr>
          <w:b w:val="0"/>
          <w:i/>
        </w:rPr>
        <w:t>o se presentarán garantías de mantenimiento de ofertas cuando las mismas</w:t>
      </w:r>
      <w:r w:rsidR="000621BA">
        <w:rPr>
          <w:b w:val="0"/>
          <w:i/>
        </w:rPr>
        <w:t xml:space="preserve"> sean inferiores al tope de la Licitación A</w:t>
      </w:r>
      <w:r w:rsidRPr="000621BA">
        <w:rPr>
          <w:b w:val="0"/>
          <w:i/>
        </w:rPr>
        <w:t>breviada</w:t>
      </w:r>
      <w:r>
        <w:rPr>
          <w:b w:val="0"/>
        </w:rPr>
        <w:t xml:space="preserve">”, a contrario </w:t>
      </w:r>
      <w:r w:rsidR="000621BA">
        <w:rPr>
          <w:b w:val="0"/>
        </w:rPr>
        <w:t>sensu,</w:t>
      </w:r>
      <w:r>
        <w:rPr>
          <w:b w:val="0"/>
        </w:rPr>
        <w:t xml:space="preserve"> cuando excedan dicho tope deberán constituirse.</w:t>
      </w:r>
    </w:p>
    <w:p w:rsidR="00A91DDB" w:rsidRDefault="000621BA">
      <w:pPr>
        <w:pStyle w:val="Textoindependiente2"/>
        <w:rPr>
          <w:b w:val="0"/>
        </w:rPr>
      </w:pPr>
      <w:r>
        <w:rPr>
          <w:b w:val="0"/>
        </w:rPr>
        <w:t>A su vez el Inciso 1º del Artículo</w:t>
      </w:r>
      <w:r w:rsidR="00BF6C26">
        <w:rPr>
          <w:b w:val="0"/>
        </w:rPr>
        <w:t xml:space="preserve"> 64 dispone que cada oferente podrá optar por no presentar garantía, si ella no es obligatoria y en ese caso, el incumplimiento se sancionará con una multa equivalente al 5% del monto máximo de su oferta. </w:t>
      </w:r>
    </w:p>
    <w:p w:rsidR="00A91DDB" w:rsidRDefault="00BF6C26">
      <w:pPr>
        <w:pStyle w:val="Textoindependiente2"/>
        <w:rPr>
          <w:b w:val="0"/>
        </w:rPr>
      </w:pPr>
      <w:r>
        <w:rPr>
          <w:b w:val="0"/>
        </w:rPr>
        <w:t>En el caso que nos ocupa, en atención al monto de las ofertas presenta</w:t>
      </w:r>
      <w:r w:rsidR="000621BA">
        <w:rPr>
          <w:b w:val="0"/>
        </w:rPr>
        <w:t>das y a lo preceptuado por los Artículos</w:t>
      </w:r>
      <w:r>
        <w:rPr>
          <w:b w:val="0"/>
        </w:rPr>
        <w:t xml:space="preserve"> 16 del Pliego y 64 del T.O.C.A.F. la constitución de la referida garantía es obligatoria y por lo  tanto, es correcto no considerar las propuestas presentadas por los oferentes que no constituyeron la misma.</w:t>
      </w:r>
    </w:p>
    <w:p w:rsidR="00A91DDB" w:rsidRDefault="000621BA" w:rsidP="000621BA">
      <w:pPr>
        <w:pStyle w:val="Textoindependiente2"/>
        <w:ind w:firstLine="851"/>
        <w:rPr>
          <w:b w:val="0"/>
        </w:rPr>
      </w:pPr>
      <w:r>
        <w:rPr>
          <w:bCs/>
        </w:rPr>
        <w:t xml:space="preserve">2) </w:t>
      </w:r>
      <w:r w:rsidR="00BF6C26">
        <w:rPr>
          <w:b w:val="0"/>
        </w:rPr>
        <w:t>Si es correcto desestimar las ofertas que no se ajustan estrictamente al Pliego, o si a los efectos de salvar un número mayor de ofertas, es posible realizar una ficción contable que permita comparar los precios en igualdad de condiciones.</w:t>
      </w:r>
    </w:p>
    <w:p w:rsidR="00A91DDB" w:rsidRDefault="00BF6C26">
      <w:pPr>
        <w:pStyle w:val="Textoindependiente2"/>
        <w:rPr>
          <w:b w:val="0"/>
        </w:rPr>
      </w:pPr>
      <w:r>
        <w:rPr>
          <w:b w:val="0"/>
        </w:rPr>
        <w:t>La situación planteada es la siguiente, cuatro empresas cotizaron el servicio en forma diferente a la requerida por el Pliego: dos de ellas cotizaron diferenciando además del factor con o sin arma, el rubro nocturnidad, una tercera incluyó nocturnidad y feriados y</w:t>
      </w:r>
      <w:r w:rsidR="000621BA">
        <w:rPr>
          <w:b w:val="0"/>
        </w:rPr>
        <w:t>,</w:t>
      </w:r>
      <w:r>
        <w:rPr>
          <w:b w:val="0"/>
        </w:rPr>
        <w:t xml:space="preserve"> una cuarta presentó una actualización di</w:t>
      </w:r>
      <w:r w:rsidR="000621BA">
        <w:rPr>
          <w:b w:val="0"/>
        </w:rPr>
        <w:t>ferente a la establecida en el P</w:t>
      </w:r>
      <w:r>
        <w:rPr>
          <w:b w:val="0"/>
        </w:rPr>
        <w:t>liego.</w:t>
      </w:r>
    </w:p>
    <w:p w:rsidR="00A91DDB" w:rsidRDefault="000621BA">
      <w:pPr>
        <w:pStyle w:val="Textoindependiente2"/>
        <w:rPr>
          <w:b w:val="0"/>
        </w:rPr>
      </w:pPr>
      <w:r>
        <w:rPr>
          <w:b w:val="0"/>
        </w:rPr>
        <w:t>Del A</w:t>
      </w:r>
      <w:r w:rsidR="00BF6C26">
        <w:rPr>
          <w:b w:val="0"/>
        </w:rPr>
        <w:t xml:space="preserve">rtículo 13 del Pliego surge que es obligatorio cotizar todos los Ítem </w:t>
      </w:r>
      <w:r>
        <w:rPr>
          <w:b w:val="0"/>
        </w:rPr>
        <w:lastRenderedPageBreak/>
        <w:t>discriminando el I</w:t>
      </w:r>
      <w:r w:rsidR="00BF6C26">
        <w:rPr>
          <w:b w:val="0"/>
        </w:rPr>
        <w:t>mpuesto al Valor Agregado (si no se discrimina se asumirá su inclusión) y que se deberá detallar el precio valor hora / hombre y la cotización hora hombre con o sin porte de arma.</w:t>
      </w:r>
    </w:p>
    <w:p w:rsidR="00A91DDB" w:rsidRDefault="00BF6C26">
      <w:pPr>
        <w:pStyle w:val="Textoindependiente2"/>
        <w:rPr>
          <w:b w:val="0"/>
        </w:rPr>
      </w:pPr>
      <w:r>
        <w:rPr>
          <w:b w:val="0"/>
        </w:rPr>
        <w:t>En cuanto a l</w:t>
      </w:r>
      <w:r w:rsidR="000621BA">
        <w:rPr>
          <w:b w:val="0"/>
        </w:rPr>
        <w:t>a forma de reajuste, el citado A</w:t>
      </w:r>
      <w:r>
        <w:rPr>
          <w:b w:val="0"/>
        </w:rPr>
        <w:t xml:space="preserve">rtículo dispone que el valor hora se ajustará únicamente según el porcentaje de incremento que experimente el laudo del grupo y subgrupo al que pertenece la empresa. </w:t>
      </w:r>
    </w:p>
    <w:p w:rsidR="00A91DDB" w:rsidRDefault="00BF6C26">
      <w:pPr>
        <w:pStyle w:val="Textoindependiente2"/>
        <w:rPr>
          <w:b w:val="0"/>
        </w:rPr>
      </w:pPr>
      <w:r>
        <w:rPr>
          <w:b w:val="0"/>
        </w:rPr>
        <w:t>Asimi</w:t>
      </w:r>
      <w:r w:rsidR="000621BA">
        <w:rPr>
          <w:b w:val="0"/>
        </w:rPr>
        <w:t>smo, se establece, en la misma N</w:t>
      </w:r>
      <w:r>
        <w:rPr>
          <w:b w:val="0"/>
        </w:rPr>
        <w:t>orma, que la Junta Departamental de Montevideo no abonará ningún recargo sobre la tarifa cotizada por la firma que resulte adjudicataria, siendo de exclusivo cargo de ésta, el pago de horas extras, feriados trabajados, descansos intermedios o semanales trabajados, nocturnidad y cualquier otro concepto que signifique un incremento del valor hora de sus dependientes.</w:t>
      </w:r>
    </w:p>
    <w:p w:rsidR="00A91DDB" w:rsidRDefault="00BF6C26">
      <w:pPr>
        <w:pStyle w:val="Textoindependiente2"/>
        <w:rPr>
          <w:b w:val="0"/>
        </w:rPr>
      </w:pPr>
      <w:r>
        <w:rPr>
          <w:b w:val="0"/>
        </w:rPr>
        <w:t>En lo que respecta a la interrogante pl</w:t>
      </w:r>
      <w:r w:rsidR="000621BA">
        <w:rPr>
          <w:b w:val="0"/>
        </w:rPr>
        <w:t>anteada, de conformidad con el P</w:t>
      </w:r>
      <w:r w:rsidR="00537656">
        <w:rPr>
          <w:b w:val="0"/>
        </w:rPr>
        <w:t>rincipio de I</w:t>
      </w:r>
      <w:r>
        <w:rPr>
          <w:b w:val="0"/>
        </w:rPr>
        <w:t>gualdad de los oferentes, correspondería considerar únicamente aquellas ofertas que cotizaron en los términos exigidos por el Pliego.</w:t>
      </w:r>
    </w:p>
    <w:p w:rsidR="000621BA" w:rsidRDefault="00BF6C26">
      <w:pPr>
        <w:pStyle w:val="Textoindependiente2"/>
        <w:rPr>
          <w:b w:val="0"/>
        </w:rPr>
      </w:pPr>
      <w:r>
        <w:rPr>
          <w:b w:val="0"/>
        </w:rPr>
        <w:t>De acuerdo a lo expuesto, se entiende que el precio de los rubros  relacionadas con la nocturnidad y feriados debieron ser trasladados a la ecuación</w:t>
      </w:r>
      <w:r w:rsidR="000621BA">
        <w:rPr>
          <w:b w:val="0"/>
        </w:rPr>
        <w:t xml:space="preserve">  “</w:t>
      </w:r>
      <w:r>
        <w:rPr>
          <w:b w:val="0"/>
        </w:rPr>
        <w:t>valor hora” y no establecerse por separado, en cuanto a la actualización, solamente puede</w:t>
      </w:r>
      <w:r w:rsidR="000621BA">
        <w:rPr>
          <w:b w:val="0"/>
        </w:rPr>
        <w:t xml:space="preserve"> admitirse la dispuesta por el P</w:t>
      </w:r>
      <w:r>
        <w:rPr>
          <w:b w:val="0"/>
        </w:rPr>
        <w:t xml:space="preserve">liego. </w:t>
      </w:r>
    </w:p>
    <w:p w:rsidR="00A91DDB" w:rsidRDefault="000621BA" w:rsidP="000621BA">
      <w:pPr>
        <w:pStyle w:val="Textoindependiente2"/>
        <w:ind w:firstLine="851"/>
        <w:rPr>
          <w:b w:val="0"/>
        </w:rPr>
      </w:pPr>
      <w:r>
        <w:rPr>
          <w:bCs/>
        </w:rPr>
        <w:t xml:space="preserve">3) </w:t>
      </w:r>
      <w:r w:rsidR="00BF6C26">
        <w:rPr>
          <w:b w:val="0"/>
        </w:rPr>
        <w:t>Ninguno de los oferentes presentó la totalidad de los antecedentes en la forma requerida por el Pliego (factor que incide directamente en la calificación de la oferta) se consulta si es posible otorgar un plazo de 48 horas a los efectos de que los oferentes presenten los antecedentes en la forma requerida y si esto es posible solamente respecto de los que presentaron las constancias, o comprendería a los que se limitaron a indicar una nómina de organismos o empresas para las cuales trabajaron.</w:t>
      </w:r>
    </w:p>
    <w:p w:rsidR="00A91DDB" w:rsidRDefault="00BF6C26">
      <w:pPr>
        <w:pStyle w:val="Textoindependiente2"/>
        <w:rPr>
          <w:b w:val="0"/>
        </w:rPr>
      </w:pPr>
      <w:r>
        <w:rPr>
          <w:b w:val="0"/>
        </w:rPr>
        <w:t>Al respecto,  teniendo en cuenta que ningún oferente presentó la totalidad de sus antecedentes en la forma requerida por el</w:t>
      </w:r>
      <w:r w:rsidR="00537656">
        <w:rPr>
          <w:b w:val="0"/>
        </w:rPr>
        <w:t xml:space="preserve"> Pliego, de conformidad con el P</w:t>
      </w:r>
      <w:r>
        <w:rPr>
          <w:b w:val="0"/>
        </w:rPr>
        <w:t xml:space="preserve">rincipio </w:t>
      </w:r>
      <w:r w:rsidR="00537656">
        <w:rPr>
          <w:b w:val="0"/>
        </w:rPr>
        <w:lastRenderedPageBreak/>
        <w:t>de I</w:t>
      </w:r>
      <w:r>
        <w:rPr>
          <w:b w:val="0"/>
        </w:rPr>
        <w:t>gualdad de los oferentes, correspondería otorgar un plazo de 48 horas a todas las empresas a los efectos de que presenten sus antecedentes en la forma requerida por el pliego.</w:t>
      </w:r>
    </w:p>
    <w:p w:rsidR="00A91DDB" w:rsidRDefault="00BF6C26">
      <w:pPr>
        <w:pStyle w:val="Textoindependiente2"/>
        <w:rPr>
          <w:b w:val="0"/>
        </w:rPr>
      </w:pPr>
      <w:r>
        <w:rPr>
          <w:b w:val="0"/>
        </w:rPr>
        <w:tab/>
      </w:r>
    </w:p>
    <w:p w:rsidR="00A91DDB" w:rsidRDefault="00BF6C26" w:rsidP="00537656">
      <w:pPr>
        <w:pStyle w:val="Textoindependiente2"/>
        <w:jc w:val="right"/>
        <w:rPr>
          <w:b w:val="0"/>
        </w:rPr>
      </w:pPr>
      <w:r>
        <w:rPr>
          <w:b w:val="0"/>
        </w:rPr>
        <w:tab/>
      </w:r>
      <w:r w:rsidR="00537656">
        <w:rPr>
          <w:b w:val="0"/>
        </w:rPr>
        <w:t>Saludo a Usted a</w:t>
      </w:r>
      <w:r>
        <w:rPr>
          <w:b w:val="0"/>
        </w:rPr>
        <w:t>te</w:t>
      </w:r>
      <w:r w:rsidR="00537656">
        <w:rPr>
          <w:b w:val="0"/>
        </w:rPr>
        <w:t>ntamente</w:t>
      </w:r>
      <w:r>
        <w:rPr>
          <w:b w:val="0"/>
        </w:rPr>
        <w:t>.</w:t>
      </w:r>
    </w:p>
    <w:p w:rsidR="00A91DDB" w:rsidRDefault="00A91DDB">
      <w:pPr>
        <w:pStyle w:val="Textoindependiente2"/>
        <w:rPr>
          <w:b w:val="0"/>
        </w:rPr>
      </w:pPr>
    </w:p>
    <w:p w:rsidR="00A91DDB" w:rsidRDefault="00A91DDB">
      <w:pPr>
        <w:pStyle w:val="Textoindependiente2"/>
        <w:rPr>
          <w:b w:val="0"/>
        </w:rPr>
      </w:pPr>
    </w:p>
    <w:p w:rsidR="00A91DDB" w:rsidRDefault="00A91DDB">
      <w:pPr>
        <w:pStyle w:val="Textoindependiente2"/>
        <w:rPr>
          <w:b w:val="0"/>
        </w:rPr>
      </w:pPr>
    </w:p>
    <w:p w:rsidR="00A91DDB" w:rsidRDefault="00A91DDB">
      <w:pPr>
        <w:pStyle w:val="Textoindependiente2"/>
        <w:rPr>
          <w:b w:val="0"/>
        </w:rPr>
      </w:pPr>
    </w:p>
    <w:p w:rsidR="00A91DDB" w:rsidRDefault="00A91DDB">
      <w:pPr>
        <w:pStyle w:val="Textoindependiente2"/>
        <w:rPr>
          <w:b w:val="0"/>
        </w:rPr>
      </w:pPr>
    </w:p>
    <w:p w:rsidR="00A91DDB" w:rsidRDefault="00A91DDB">
      <w:pPr>
        <w:pStyle w:val="Textoindependiente2"/>
        <w:rPr>
          <w:b w:val="0"/>
        </w:rPr>
      </w:pPr>
    </w:p>
    <w:p w:rsidR="00A91DDB" w:rsidRDefault="00A91DDB">
      <w:pPr>
        <w:pStyle w:val="Textoindependiente2"/>
        <w:rPr>
          <w:b w:val="0"/>
        </w:rPr>
      </w:pPr>
    </w:p>
    <w:p w:rsidR="00BF6C26" w:rsidRPr="00537656" w:rsidRDefault="00537656">
      <w:pPr>
        <w:pStyle w:val="Textoindependiente2"/>
        <w:rPr>
          <w:b w:val="0"/>
          <w:szCs w:val="24"/>
        </w:rPr>
      </w:pPr>
      <w:proofErr w:type="spellStart"/>
      <w:proofErr w:type="gramStart"/>
      <w:r w:rsidRPr="00537656">
        <w:rPr>
          <w:b w:val="0"/>
          <w:szCs w:val="24"/>
        </w:rPr>
        <w:t>mp</w:t>
      </w:r>
      <w:proofErr w:type="spellEnd"/>
      <w:proofErr w:type="gramEnd"/>
    </w:p>
    <w:sectPr w:rsidR="00BF6C26" w:rsidRPr="00537656" w:rsidSect="000621BA">
      <w:footerReference w:type="even" r:id="rId8"/>
      <w:footerReference w:type="default" r:id="rId9"/>
      <w:endnotePr>
        <w:numFmt w:val="decimal"/>
      </w:endnotePr>
      <w:pgSz w:w="11907" w:h="16840" w:code="9"/>
      <w:pgMar w:top="3289" w:right="1701" w:bottom="1418" w:left="1701" w:header="1440" w:footer="1440" w:gutter="0"/>
      <w:paperSrc w:first="4" w:other="4"/>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BA" w:rsidRDefault="000621BA">
      <w:pPr>
        <w:spacing w:line="20" w:lineRule="exact"/>
      </w:pPr>
    </w:p>
  </w:endnote>
  <w:endnote w:type="continuationSeparator" w:id="0">
    <w:p w:rsidR="000621BA" w:rsidRDefault="000621BA">
      <w:r>
        <w:t xml:space="preserve"> </w:t>
      </w:r>
    </w:p>
  </w:endnote>
  <w:endnote w:type="continuationNotice" w:id="1">
    <w:p w:rsidR="000621BA" w:rsidRDefault="000621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1BA" w:rsidRDefault="000621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621BA" w:rsidRDefault="000621B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585782"/>
      <w:docPartObj>
        <w:docPartGallery w:val="Page Numbers (Bottom of Page)"/>
        <w:docPartUnique/>
      </w:docPartObj>
    </w:sdtPr>
    <w:sdtContent>
      <w:p w:rsidR="000621BA" w:rsidRDefault="000621BA">
        <w:pPr>
          <w:pStyle w:val="Piedepgina"/>
          <w:jc w:val="center"/>
        </w:pPr>
        <w:r>
          <w:fldChar w:fldCharType="begin"/>
        </w:r>
        <w:r>
          <w:instrText>PAGE   \* MERGEFORMAT</w:instrText>
        </w:r>
        <w:r>
          <w:fldChar w:fldCharType="separate"/>
        </w:r>
        <w:r w:rsidR="00537656">
          <w:rPr>
            <w:noProof/>
          </w:rPr>
          <w:t>2</w:t>
        </w:r>
        <w:r>
          <w:fldChar w:fldCharType="end"/>
        </w:r>
      </w:p>
    </w:sdtContent>
  </w:sdt>
  <w:p w:rsidR="000621BA" w:rsidRDefault="000621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BA" w:rsidRDefault="000621BA">
      <w:r>
        <w:separator/>
      </w:r>
    </w:p>
  </w:footnote>
  <w:footnote w:type="continuationSeparator" w:id="0">
    <w:p w:rsidR="000621BA" w:rsidRDefault="00062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346"/>
    <w:multiLevelType w:val="singleLevel"/>
    <w:tmpl w:val="C9F0772E"/>
    <w:lvl w:ilvl="0">
      <w:start w:val="3"/>
      <w:numFmt w:val="bullet"/>
      <w:lvlText w:val="-"/>
      <w:lvlJc w:val="left"/>
      <w:pPr>
        <w:tabs>
          <w:tab w:val="num" w:pos="420"/>
        </w:tabs>
        <w:ind w:left="420" w:hanging="360"/>
      </w:pPr>
      <w:rPr>
        <w:rFonts w:hint="default"/>
      </w:rPr>
    </w:lvl>
  </w:abstractNum>
  <w:abstractNum w:abstractNumId="1">
    <w:nsid w:val="4F140595"/>
    <w:multiLevelType w:val="singleLevel"/>
    <w:tmpl w:val="C7EC6658"/>
    <w:lvl w:ilvl="0">
      <w:start w:val="1"/>
      <w:numFmt w:val="lowerLetter"/>
      <w:lvlText w:val="%1)"/>
      <w:lvlJc w:val="left"/>
      <w:pPr>
        <w:tabs>
          <w:tab w:val="num" w:pos="1080"/>
        </w:tabs>
        <w:ind w:left="1080" w:hanging="360"/>
      </w:pPr>
      <w:rPr>
        <w:rFonts w:hint="default"/>
      </w:rPr>
    </w:lvl>
  </w:abstractNum>
  <w:abstractNum w:abstractNumId="2">
    <w:nsid w:val="50C55519"/>
    <w:multiLevelType w:val="singleLevel"/>
    <w:tmpl w:val="E32CAC16"/>
    <w:lvl w:ilvl="0">
      <w:start w:val="4"/>
      <w:numFmt w:val="bullet"/>
      <w:lvlText w:val="-"/>
      <w:lvlJc w:val="left"/>
      <w:pPr>
        <w:tabs>
          <w:tab w:val="num" w:pos="1080"/>
        </w:tabs>
        <w:ind w:left="1080" w:hanging="360"/>
      </w:pPr>
      <w:rPr>
        <w:rFonts w:ascii="Times New Roman" w:hAnsi="Times New Roman" w:hint="default"/>
        <w:u w:val="none"/>
      </w:rPr>
    </w:lvl>
  </w:abstractNum>
  <w:abstractNum w:abstractNumId="3">
    <w:nsid w:val="5D316CB5"/>
    <w:multiLevelType w:val="singleLevel"/>
    <w:tmpl w:val="3E521AE4"/>
    <w:lvl w:ilvl="0">
      <w:start w:val="3"/>
      <w:numFmt w:val="lowerLetter"/>
      <w:lvlText w:val=""/>
      <w:lvlJc w:val="left"/>
      <w:pPr>
        <w:tabs>
          <w:tab w:val="num" w:pos="0"/>
        </w:tabs>
        <w:ind w:left="0" w:hanging="360"/>
      </w:pPr>
      <w:rPr>
        <w:rFonts w:ascii="Arial" w:hAnsi="Arial" w:hint="default"/>
        <w:u w:val="single"/>
      </w:rPr>
    </w:lvl>
  </w:abstractNum>
  <w:abstractNum w:abstractNumId="4">
    <w:nsid w:val="634F1EB6"/>
    <w:multiLevelType w:val="singleLevel"/>
    <w:tmpl w:val="AEC42062"/>
    <w:lvl w:ilvl="0">
      <w:start w:val="1"/>
      <w:numFmt w:val="upperLetter"/>
      <w:lvlText w:val="%1)"/>
      <w:lvlJc w:val="left"/>
      <w:pPr>
        <w:tabs>
          <w:tab w:val="num" w:pos="360"/>
        </w:tabs>
        <w:ind w:left="360" w:hanging="360"/>
      </w:pPr>
      <w:rPr>
        <w:rFonts w:hint="default"/>
        <w:b/>
      </w:rPr>
    </w:lvl>
  </w:abstractNum>
  <w:abstractNum w:abstractNumId="5">
    <w:nsid w:val="7B357286"/>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87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31"/>
    <w:rsid w:val="000621BA"/>
    <w:rsid w:val="00490BFC"/>
    <w:rsid w:val="00537656"/>
    <w:rsid w:val="005867B0"/>
    <w:rsid w:val="00771C52"/>
    <w:rsid w:val="00844E8A"/>
    <w:rsid w:val="00A508F9"/>
    <w:rsid w:val="00A91DDB"/>
    <w:rsid w:val="00B63F31"/>
    <w:rsid w:val="00BF6C26"/>
    <w:rsid w:val="00F11531"/>
    <w:rsid w:val="00F24A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lang w:val="es-ES" w:eastAsia="es-ES"/>
    </w:rPr>
  </w:style>
  <w:style w:type="paragraph" w:styleId="Ttulo1">
    <w:name w:val="heading 1"/>
    <w:basedOn w:val="Normal"/>
    <w:next w:val="Normal"/>
    <w:qFormat/>
    <w:pPr>
      <w:keepNext/>
      <w:tabs>
        <w:tab w:val="left" w:pos="-720"/>
      </w:tabs>
      <w:suppressAutoHyphens/>
      <w:spacing w:line="360" w:lineRule="auto"/>
      <w:jc w:val="both"/>
      <w:outlineLvl w:val="0"/>
    </w:pPr>
    <w:rPr>
      <w:rFonts w:ascii="Arial" w:hAnsi="Arial"/>
      <w:b/>
      <w:spacing w:val="-3"/>
      <w:u w:val="single"/>
      <w:lang w:val="es-ES_tradnl"/>
    </w:rPr>
  </w:style>
  <w:style w:type="paragraph" w:styleId="Ttulo2">
    <w:name w:val="heading 2"/>
    <w:basedOn w:val="Normal"/>
    <w:next w:val="Normal"/>
    <w:qFormat/>
    <w:pPr>
      <w:keepNext/>
      <w:tabs>
        <w:tab w:val="center" w:pos="4478"/>
      </w:tabs>
      <w:suppressAutoHyphens/>
      <w:spacing w:line="360" w:lineRule="auto"/>
      <w:jc w:val="center"/>
      <w:outlineLvl w:val="1"/>
    </w:pPr>
    <w:rPr>
      <w:rFonts w:ascii="Arial" w:hAnsi="Arial"/>
      <w:b/>
      <w:spacing w:val="-3"/>
      <w:u w:val="single"/>
      <w:lang w:val="es-ES_tradnl"/>
    </w:rPr>
  </w:style>
  <w:style w:type="paragraph" w:styleId="Ttulo3">
    <w:name w:val="heading 3"/>
    <w:basedOn w:val="Normal"/>
    <w:next w:val="Normal"/>
    <w:qFormat/>
    <w:pPr>
      <w:keepNext/>
      <w:tabs>
        <w:tab w:val="center" w:pos="4478"/>
      </w:tabs>
      <w:suppressAutoHyphens/>
      <w:spacing w:line="360" w:lineRule="auto"/>
      <w:jc w:val="center"/>
      <w:outlineLvl w:val="2"/>
    </w:pPr>
    <w:rPr>
      <w:rFonts w:ascii="Arial" w:hAnsi="Arial"/>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style>
  <w:style w:type="character" w:customStyle="1" w:styleId="EquationCaption">
    <w:name w:val="_Equation Caption"/>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tabs>
        <w:tab w:val="left" w:pos="-720"/>
      </w:tabs>
      <w:suppressAutoHyphens/>
      <w:spacing w:line="360" w:lineRule="auto"/>
      <w:jc w:val="both"/>
    </w:pPr>
    <w:rPr>
      <w:rFonts w:ascii="Arial" w:hAnsi="Arial"/>
      <w:spacing w:val="-3"/>
      <w:lang w:val="es-ES_tradnl"/>
    </w:rPr>
  </w:style>
  <w:style w:type="paragraph" w:styleId="Textoindependiente2">
    <w:name w:val="Body Text 2"/>
    <w:basedOn w:val="Normal"/>
    <w:semiHidden/>
    <w:pPr>
      <w:tabs>
        <w:tab w:val="left" w:pos="-720"/>
      </w:tabs>
      <w:suppressAutoHyphens/>
      <w:spacing w:line="360" w:lineRule="auto"/>
      <w:jc w:val="both"/>
    </w:pPr>
    <w:rPr>
      <w:rFonts w:ascii="Arial" w:hAnsi="Arial"/>
      <w:b/>
      <w:spacing w:val="-3"/>
      <w:lang w:val="es-ES_tradnl"/>
    </w:rPr>
  </w:style>
  <w:style w:type="character" w:customStyle="1" w:styleId="PiedepginaCar">
    <w:name w:val="Pie de página Car"/>
    <w:basedOn w:val="Fuentedeprrafopredeter"/>
    <w:link w:val="Piedepgina"/>
    <w:uiPriority w:val="99"/>
    <w:rsid w:val="000621BA"/>
    <w:rPr>
      <w:rFonts w:ascii="Courier" w:hAnsi="Courier"/>
      <w:snapToGrid w:val="0"/>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lang w:val="es-ES" w:eastAsia="es-ES"/>
    </w:rPr>
  </w:style>
  <w:style w:type="paragraph" w:styleId="Ttulo1">
    <w:name w:val="heading 1"/>
    <w:basedOn w:val="Normal"/>
    <w:next w:val="Normal"/>
    <w:qFormat/>
    <w:pPr>
      <w:keepNext/>
      <w:tabs>
        <w:tab w:val="left" w:pos="-720"/>
      </w:tabs>
      <w:suppressAutoHyphens/>
      <w:spacing w:line="360" w:lineRule="auto"/>
      <w:jc w:val="both"/>
      <w:outlineLvl w:val="0"/>
    </w:pPr>
    <w:rPr>
      <w:rFonts w:ascii="Arial" w:hAnsi="Arial"/>
      <w:b/>
      <w:spacing w:val="-3"/>
      <w:u w:val="single"/>
      <w:lang w:val="es-ES_tradnl"/>
    </w:rPr>
  </w:style>
  <w:style w:type="paragraph" w:styleId="Ttulo2">
    <w:name w:val="heading 2"/>
    <w:basedOn w:val="Normal"/>
    <w:next w:val="Normal"/>
    <w:qFormat/>
    <w:pPr>
      <w:keepNext/>
      <w:tabs>
        <w:tab w:val="center" w:pos="4478"/>
      </w:tabs>
      <w:suppressAutoHyphens/>
      <w:spacing w:line="360" w:lineRule="auto"/>
      <w:jc w:val="center"/>
      <w:outlineLvl w:val="1"/>
    </w:pPr>
    <w:rPr>
      <w:rFonts w:ascii="Arial" w:hAnsi="Arial"/>
      <w:b/>
      <w:spacing w:val="-3"/>
      <w:u w:val="single"/>
      <w:lang w:val="es-ES_tradnl"/>
    </w:rPr>
  </w:style>
  <w:style w:type="paragraph" w:styleId="Ttulo3">
    <w:name w:val="heading 3"/>
    <w:basedOn w:val="Normal"/>
    <w:next w:val="Normal"/>
    <w:qFormat/>
    <w:pPr>
      <w:keepNext/>
      <w:tabs>
        <w:tab w:val="center" w:pos="4478"/>
      </w:tabs>
      <w:suppressAutoHyphens/>
      <w:spacing w:line="360" w:lineRule="auto"/>
      <w:jc w:val="center"/>
      <w:outlineLvl w:val="2"/>
    </w:pPr>
    <w:rPr>
      <w:rFonts w:ascii="Arial" w:hAnsi="Arial"/>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style>
  <w:style w:type="character" w:customStyle="1" w:styleId="EquationCaption">
    <w:name w:val="_Equation Caption"/>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tabs>
        <w:tab w:val="left" w:pos="-720"/>
      </w:tabs>
      <w:suppressAutoHyphens/>
      <w:spacing w:line="360" w:lineRule="auto"/>
      <w:jc w:val="both"/>
    </w:pPr>
    <w:rPr>
      <w:rFonts w:ascii="Arial" w:hAnsi="Arial"/>
      <w:spacing w:val="-3"/>
      <w:lang w:val="es-ES_tradnl"/>
    </w:rPr>
  </w:style>
  <w:style w:type="paragraph" w:styleId="Textoindependiente2">
    <w:name w:val="Body Text 2"/>
    <w:basedOn w:val="Normal"/>
    <w:semiHidden/>
    <w:pPr>
      <w:tabs>
        <w:tab w:val="left" w:pos="-720"/>
      </w:tabs>
      <w:suppressAutoHyphens/>
      <w:spacing w:line="360" w:lineRule="auto"/>
      <w:jc w:val="both"/>
    </w:pPr>
    <w:rPr>
      <w:rFonts w:ascii="Arial" w:hAnsi="Arial"/>
      <w:b/>
      <w:spacing w:val="-3"/>
      <w:lang w:val="es-ES_tradnl"/>
    </w:rPr>
  </w:style>
  <w:style w:type="character" w:customStyle="1" w:styleId="PiedepginaCar">
    <w:name w:val="Pie de página Car"/>
    <w:basedOn w:val="Fuentedeprrafopredeter"/>
    <w:link w:val="Piedepgina"/>
    <w:uiPriority w:val="99"/>
    <w:rsid w:val="000621BA"/>
    <w:rPr>
      <w:rFonts w:ascii="Courier" w:hAnsi="Courier"/>
      <w:snapToGrid w:val="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923</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Carpeta Nº 183</vt:lpstr>
    </vt:vector>
  </TitlesOfParts>
  <Company>TCR</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183</dc:title>
  <dc:creator>Gobiernos Departamentales</dc:creator>
  <cp:lastModifiedBy>Mariangeles Prado</cp:lastModifiedBy>
  <cp:revision>3</cp:revision>
  <cp:lastPrinted>2004-01-08T13:52:00Z</cp:lastPrinted>
  <dcterms:created xsi:type="dcterms:W3CDTF">2015-07-27T12:36:00Z</dcterms:created>
  <dcterms:modified xsi:type="dcterms:W3CDTF">2015-07-27T13:07:00Z</dcterms:modified>
</cp:coreProperties>
</file>