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27A" w:rsidRPr="00600E1C" w:rsidRDefault="0095527A" w:rsidP="008330DC">
      <w:pPr>
        <w:keepNext/>
        <w:widowControl w:val="0"/>
        <w:tabs>
          <w:tab w:val="center" w:pos="4253"/>
        </w:tabs>
        <w:jc w:val="center"/>
        <w:rPr>
          <w:rFonts w:cs="Arial"/>
          <w:b/>
          <w:lang w:val="es-ES_tradnl"/>
        </w:rPr>
      </w:pPr>
      <w:bookmarkStart w:id="0" w:name="_GoBack"/>
      <w:bookmarkEnd w:id="0"/>
      <w:r w:rsidRPr="00600E1C">
        <w:rPr>
          <w:rFonts w:cs="Arial"/>
          <w:b/>
          <w:lang w:val="es-ES_tradnl"/>
        </w:rPr>
        <w:t>RESOLUCION ADOPTADA POR EL</w:t>
      </w:r>
    </w:p>
    <w:p w:rsidR="0095527A" w:rsidRPr="00600E1C" w:rsidRDefault="0095527A" w:rsidP="008330DC">
      <w:pPr>
        <w:keepNext/>
        <w:widowControl w:val="0"/>
        <w:tabs>
          <w:tab w:val="left" w:pos="-720"/>
        </w:tabs>
        <w:jc w:val="center"/>
        <w:rPr>
          <w:rFonts w:cs="Arial"/>
          <w:b/>
          <w:lang w:val="es-ES_tradnl"/>
        </w:rPr>
      </w:pPr>
    </w:p>
    <w:p w:rsidR="0095527A" w:rsidRPr="00600E1C" w:rsidRDefault="0095527A" w:rsidP="008330DC">
      <w:pPr>
        <w:keepNext/>
        <w:widowControl w:val="0"/>
        <w:tabs>
          <w:tab w:val="center" w:pos="4253"/>
        </w:tabs>
        <w:jc w:val="center"/>
        <w:rPr>
          <w:rFonts w:cs="Arial"/>
          <w:b/>
          <w:lang w:val="es-ES_tradnl"/>
        </w:rPr>
      </w:pPr>
      <w:r w:rsidRPr="00600E1C">
        <w:rPr>
          <w:rFonts w:cs="Arial"/>
          <w:b/>
          <w:lang w:val="es-ES_tradnl"/>
        </w:rPr>
        <w:t>TRIBUNAL DE CUENTAS</w:t>
      </w:r>
    </w:p>
    <w:p w:rsidR="0095527A" w:rsidRPr="00600E1C" w:rsidRDefault="0095527A" w:rsidP="008330DC">
      <w:pPr>
        <w:keepNext/>
        <w:widowControl w:val="0"/>
        <w:tabs>
          <w:tab w:val="left" w:pos="-720"/>
        </w:tabs>
        <w:jc w:val="center"/>
        <w:rPr>
          <w:rFonts w:cs="Arial"/>
          <w:b/>
          <w:lang w:val="es-ES_tradnl"/>
        </w:rPr>
      </w:pPr>
    </w:p>
    <w:p w:rsidR="0095527A" w:rsidRPr="00600E1C" w:rsidRDefault="0095527A" w:rsidP="008330DC">
      <w:pPr>
        <w:keepNext/>
        <w:widowControl w:val="0"/>
        <w:tabs>
          <w:tab w:val="center" w:pos="4253"/>
        </w:tabs>
        <w:jc w:val="center"/>
        <w:rPr>
          <w:rFonts w:cs="Arial"/>
          <w:b/>
          <w:lang w:val="es-ES_tradnl"/>
        </w:rPr>
      </w:pPr>
      <w:r w:rsidRPr="00600E1C">
        <w:rPr>
          <w:rFonts w:cs="Arial"/>
          <w:b/>
          <w:lang w:val="es-ES_tradnl"/>
        </w:rPr>
        <w:t>EN SESION DE FECHA 5 DE AGOSTO DE 2015</w:t>
      </w:r>
    </w:p>
    <w:p w:rsidR="0095527A" w:rsidRPr="00600E1C" w:rsidRDefault="0095527A" w:rsidP="008330DC">
      <w:pPr>
        <w:keepNext/>
        <w:widowControl w:val="0"/>
        <w:tabs>
          <w:tab w:val="center" w:pos="4253"/>
        </w:tabs>
        <w:jc w:val="center"/>
        <w:rPr>
          <w:rFonts w:cs="Arial"/>
          <w:b/>
          <w:lang w:val="es-ES_tradnl"/>
        </w:rPr>
      </w:pPr>
    </w:p>
    <w:p w:rsidR="0095527A" w:rsidRPr="00600E1C" w:rsidRDefault="0095527A" w:rsidP="008330DC">
      <w:pPr>
        <w:keepNext/>
        <w:widowControl w:val="0"/>
        <w:tabs>
          <w:tab w:val="center" w:pos="4253"/>
        </w:tabs>
        <w:jc w:val="center"/>
        <w:rPr>
          <w:rFonts w:cs="Arial"/>
          <w:b/>
          <w:lang w:val="es-UY"/>
        </w:rPr>
      </w:pPr>
      <w:r w:rsidRPr="00600E1C">
        <w:rPr>
          <w:rFonts w:cs="Arial"/>
          <w:b/>
          <w:lang w:val="es-UY"/>
        </w:rPr>
        <w:t>(E. E. Nº 2015-17-1-0002</w:t>
      </w:r>
      <w:r w:rsidR="006503E5" w:rsidRPr="00600E1C">
        <w:rPr>
          <w:rFonts w:cs="Arial"/>
          <w:b/>
          <w:lang w:val="es-UY"/>
        </w:rPr>
        <w:t>142</w:t>
      </w:r>
      <w:r w:rsidRPr="00600E1C">
        <w:rPr>
          <w:rFonts w:cs="Arial"/>
          <w:b/>
          <w:lang w:val="es-UY"/>
        </w:rPr>
        <w:t xml:space="preserve">, </w:t>
      </w:r>
      <w:proofErr w:type="spellStart"/>
      <w:r w:rsidRPr="00600E1C">
        <w:rPr>
          <w:rFonts w:cs="Arial"/>
          <w:b/>
          <w:lang w:val="es-UY"/>
        </w:rPr>
        <w:t>Ent</w:t>
      </w:r>
      <w:proofErr w:type="spellEnd"/>
      <w:r w:rsidRPr="00600E1C">
        <w:rPr>
          <w:rFonts w:cs="Arial"/>
          <w:b/>
          <w:lang w:val="es-UY"/>
        </w:rPr>
        <w:t>. N° 1</w:t>
      </w:r>
      <w:r w:rsidR="006503E5" w:rsidRPr="00600E1C">
        <w:rPr>
          <w:rFonts w:cs="Arial"/>
          <w:b/>
          <w:lang w:val="es-UY"/>
        </w:rPr>
        <w:t>762</w:t>
      </w:r>
      <w:r w:rsidRPr="00600E1C">
        <w:rPr>
          <w:rFonts w:cs="Arial"/>
          <w:b/>
          <w:lang w:val="es-UY"/>
        </w:rPr>
        <w:t>/15)</w:t>
      </w:r>
    </w:p>
    <w:p w:rsidR="0095527A" w:rsidRPr="006F0549" w:rsidRDefault="0095527A" w:rsidP="008330DC">
      <w:pPr>
        <w:keepNext/>
        <w:widowControl w:val="0"/>
        <w:tabs>
          <w:tab w:val="center" w:pos="4253"/>
        </w:tabs>
        <w:jc w:val="center"/>
        <w:rPr>
          <w:spacing w:val="-3"/>
          <w:lang w:val="es-UY"/>
        </w:rPr>
      </w:pPr>
    </w:p>
    <w:p w:rsidR="009734DB" w:rsidRPr="000771D8" w:rsidRDefault="009734DB" w:rsidP="008330DC">
      <w:pPr>
        <w:keepNext/>
        <w:widowControl w:val="0"/>
        <w:tabs>
          <w:tab w:val="center" w:pos="4253"/>
        </w:tabs>
        <w:rPr>
          <w:spacing w:val="-3"/>
          <w:lang w:val="es-UY"/>
        </w:rPr>
      </w:pPr>
    </w:p>
    <w:p w:rsidR="009734DB" w:rsidRDefault="009734DB" w:rsidP="008330DC">
      <w:pPr>
        <w:keepNext/>
        <w:widowControl w:val="0"/>
        <w:spacing w:line="360" w:lineRule="auto"/>
        <w:ind w:firstLine="851"/>
        <w:jc w:val="both"/>
      </w:pPr>
      <w:r>
        <w:rPr>
          <w:b/>
          <w:lang w:val="es-ES_tradnl"/>
        </w:rPr>
        <w:t>VISTO:</w:t>
      </w:r>
      <w:r>
        <w:rPr>
          <w:lang w:val="es-ES_tradnl"/>
        </w:rPr>
        <w:t xml:space="preserve"> los estados financieros de Primeras Líneas Uruguayas de Navegación Aérea Ente Autónomo (PLUNA EA),</w:t>
      </w:r>
      <w:r>
        <w:t xml:space="preserve"> que comprenden el Estado de Situación Patrimonial al 31 de diciembre de 2014, los correspondientes Estados de Resultados, de Evolución del Patrimonio y de Origen y Aplicación de Fondos por el ejercicio anual terminado en esa fecha, sus anexos y las </w:t>
      </w:r>
      <w:r w:rsidR="006F0549">
        <w:t>N</w:t>
      </w:r>
      <w:r>
        <w:t>otas que los acompañan;</w:t>
      </w:r>
    </w:p>
    <w:p w:rsidR="009734DB" w:rsidRDefault="009734DB" w:rsidP="008330DC">
      <w:pPr>
        <w:keepNext/>
        <w:widowControl w:val="0"/>
        <w:spacing w:line="360" w:lineRule="auto"/>
        <w:ind w:firstLine="851"/>
        <w:jc w:val="both"/>
        <w:rPr>
          <w:rFonts w:ascii="Times" w:hAnsi="Times" w:cs="Times"/>
        </w:rPr>
      </w:pPr>
      <w:r>
        <w:rPr>
          <w:b/>
          <w:lang w:val="es-ES_tradnl"/>
        </w:rPr>
        <w:t>RESULTANDO:</w:t>
      </w:r>
      <w:r>
        <w:rPr>
          <w:lang w:val="es-ES_tradnl"/>
        </w:rPr>
        <w:t xml:space="preserve"> </w:t>
      </w:r>
      <w:r>
        <w:rPr>
          <w:rFonts w:cs="Arial"/>
          <w:lang w:val="es-ES_tradnl"/>
        </w:rPr>
        <w:t xml:space="preserve">que los exámenes fueron realizados de </w:t>
      </w:r>
      <w:r>
        <w:rPr>
          <w:rFonts w:cs="Arial"/>
        </w:rPr>
        <w:t>acuerdo con los Principios Fundamentales de Auditoría (ISSAI 100 y 200) y las Directrices de Auditoría Financiera (ISSAI 1000 a 1810) de la Organización Internacional de Entidades Fiscalizadoras Superiores (INTOSAI)</w:t>
      </w:r>
      <w:r>
        <w:rPr>
          <w:rFonts w:ascii="Times" w:hAnsi="Times" w:cs="Times"/>
        </w:rPr>
        <w:t>;</w:t>
      </w:r>
    </w:p>
    <w:p w:rsidR="009734DB" w:rsidRDefault="009734DB" w:rsidP="008330DC">
      <w:pPr>
        <w:keepNext/>
        <w:widowControl w:val="0"/>
        <w:spacing w:line="360" w:lineRule="auto"/>
        <w:ind w:firstLine="851"/>
        <w:jc w:val="both"/>
        <w:rPr>
          <w:lang w:val="es-ES_tradnl"/>
        </w:rPr>
      </w:pPr>
      <w:r>
        <w:rPr>
          <w:b/>
          <w:lang w:val="es-ES_tradnl"/>
        </w:rPr>
        <w:t>CONSIDERANDO:</w:t>
      </w:r>
      <w:r>
        <w:rPr>
          <w:lang w:val="es-ES_tradnl"/>
        </w:rPr>
        <w:t xml:space="preserve"> que las conclusiones y evidencias obtenidas son las que se expresan en el Informe de Auditoría, que incluye Dictamen e Informe a la Administración;</w:t>
      </w:r>
    </w:p>
    <w:p w:rsidR="009734DB" w:rsidRDefault="009734DB" w:rsidP="008330DC">
      <w:pPr>
        <w:keepNext/>
        <w:widowControl w:val="0"/>
        <w:spacing w:line="360" w:lineRule="auto"/>
        <w:ind w:firstLine="851"/>
        <w:jc w:val="both"/>
        <w:rPr>
          <w:lang w:val="es-ES_tradnl"/>
        </w:rPr>
      </w:pPr>
      <w:r>
        <w:rPr>
          <w:b/>
          <w:lang w:val="es-ES_tradnl"/>
        </w:rPr>
        <w:t>ATENTO:</w:t>
      </w:r>
      <w:r>
        <w:rPr>
          <w:lang w:val="es-ES_tradnl"/>
        </w:rPr>
        <w:t xml:space="preserve"> a lo dispuesto por el Artículo 211 Literal C) de la Constitución de la República;</w:t>
      </w:r>
    </w:p>
    <w:p w:rsidR="009734DB" w:rsidRDefault="009734DB" w:rsidP="008330DC">
      <w:pPr>
        <w:keepNext/>
        <w:widowControl w:val="0"/>
        <w:spacing w:line="360" w:lineRule="auto"/>
        <w:jc w:val="center"/>
        <w:rPr>
          <w:b/>
          <w:lang w:val="es-ES_tradnl"/>
        </w:rPr>
      </w:pPr>
      <w:r>
        <w:rPr>
          <w:b/>
          <w:lang w:val="es-ES_tradnl"/>
        </w:rPr>
        <w:t>EL TRIBUNAL ACUERDA</w:t>
      </w:r>
    </w:p>
    <w:p w:rsidR="009734DB" w:rsidRDefault="009734DB" w:rsidP="008330DC">
      <w:pPr>
        <w:keepNext/>
        <w:widowControl w:val="0"/>
        <w:numPr>
          <w:ilvl w:val="0"/>
          <w:numId w:val="1"/>
        </w:numPr>
        <w:spacing w:line="360" w:lineRule="auto"/>
        <w:jc w:val="both"/>
        <w:rPr>
          <w:lang w:val="es-ES_tradnl"/>
        </w:rPr>
      </w:pPr>
      <w:r>
        <w:rPr>
          <w:lang w:val="es-ES_tradnl"/>
        </w:rPr>
        <w:t>Expedirse en los términos del Informe de Auditoría que se adjunta;</w:t>
      </w:r>
    </w:p>
    <w:p w:rsidR="009734DB" w:rsidRDefault="009734DB" w:rsidP="008330DC">
      <w:pPr>
        <w:keepNext/>
        <w:widowControl w:val="0"/>
        <w:numPr>
          <w:ilvl w:val="0"/>
          <w:numId w:val="1"/>
        </w:numPr>
        <w:spacing w:line="360" w:lineRule="auto"/>
        <w:jc w:val="both"/>
        <w:rPr>
          <w:lang w:val="es-ES_tradnl"/>
        </w:rPr>
      </w:pPr>
      <w:r>
        <w:rPr>
          <w:lang w:val="es-ES_tradnl"/>
        </w:rPr>
        <w:t>El Organismo deberá publicar los estados financieros con el  Dictamen del Tribunal de Cuentas, de acuerdo con lo dispuesto por el Artículo 1 de la Ley N° 17.040;</w:t>
      </w:r>
    </w:p>
    <w:p w:rsidR="00602334" w:rsidRPr="00AC2170" w:rsidRDefault="009734DB" w:rsidP="008330DC">
      <w:pPr>
        <w:keepNext/>
        <w:widowControl w:val="0"/>
        <w:numPr>
          <w:ilvl w:val="0"/>
          <w:numId w:val="1"/>
        </w:numPr>
        <w:spacing w:line="360" w:lineRule="auto"/>
        <w:jc w:val="both"/>
        <w:rPr>
          <w:lang w:val="es-ES_tradnl"/>
        </w:rPr>
      </w:pPr>
      <w:r w:rsidRPr="00AC2170">
        <w:rPr>
          <w:lang w:val="es-ES_tradnl"/>
        </w:rPr>
        <w:t>Comunicar la presente Resolución al Ministerio de Transporte y Obras Públicas, al Organismo y a la Oficina de Planeamiento y Presupuesto; y</w:t>
      </w:r>
    </w:p>
    <w:p w:rsidR="009734DB" w:rsidRDefault="009734DB" w:rsidP="008330DC">
      <w:pPr>
        <w:keepNext/>
        <w:widowControl w:val="0"/>
        <w:numPr>
          <w:ilvl w:val="0"/>
          <w:numId w:val="1"/>
        </w:numPr>
        <w:spacing w:line="360" w:lineRule="auto"/>
        <w:jc w:val="both"/>
      </w:pPr>
      <w:r>
        <w:t>Dar cuenta a la Asamblea General.</w:t>
      </w:r>
    </w:p>
    <w:p w:rsidR="008330DC" w:rsidRDefault="008330DC" w:rsidP="008330DC">
      <w:pPr>
        <w:keepNext/>
        <w:widowControl w:val="0"/>
        <w:spacing w:line="360" w:lineRule="auto"/>
        <w:jc w:val="both"/>
      </w:pPr>
    </w:p>
    <w:p w:rsidR="008330DC" w:rsidRDefault="008330DC" w:rsidP="008330DC">
      <w:pPr>
        <w:pStyle w:val="Ttulo"/>
        <w:keepNext/>
        <w:widowControl w:val="0"/>
        <w:rPr>
          <w:sz w:val="24"/>
        </w:rPr>
      </w:pPr>
      <w:r>
        <w:rPr>
          <w:sz w:val="24"/>
        </w:rPr>
        <w:lastRenderedPageBreak/>
        <w:t>DICTAMEN</w:t>
      </w:r>
    </w:p>
    <w:p w:rsidR="008330DC" w:rsidRDefault="008330DC" w:rsidP="008330DC">
      <w:pPr>
        <w:pStyle w:val="Ttulo"/>
        <w:keepNext/>
        <w:widowControl w:val="0"/>
        <w:rPr>
          <w:sz w:val="24"/>
        </w:rPr>
      </w:pPr>
    </w:p>
    <w:p w:rsidR="008330DC" w:rsidRDefault="008330DC" w:rsidP="008330DC">
      <w:pPr>
        <w:pStyle w:val="Ttulo"/>
        <w:keepNext/>
        <w:widowControl w:val="0"/>
        <w:jc w:val="both"/>
        <w:rPr>
          <w:sz w:val="24"/>
        </w:rPr>
      </w:pPr>
    </w:p>
    <w:p w:rsidR="008330DC" w:rsidRDefault="008330DC" w:rsidP="008330DC">
      <w:pPr>
        <w:keepNext/>
        <w:widowControl w:val="0"/>
        <w:spacing w:line="360" w:lineRule="auto"/>
        <w:jc w:val="both"/>
        <w:rPr>
          <w:rFonts w:cs="Arial"/>
        </w:rPr>
      </w:pPr>
      <w:r>
        <w:rPr>
          <w:rFonts w:cs="Arial"/>
        </w:rPr>
        <w:t xml:space="preserve">El Tribunal de Cuentas ha examinado los estados financieros de </w:t>
      </w:r>
      <w:r>
        <w:rPr>
          <w:lang w:val="es-ES_tradnl"/>
        </w:rPr>
        <w:t>Primeras Líneas Uruguayas de Navegación Aérea Ente Autónomo (PLUNA EA)</w:t>
      </w:r>
      <w:r>
        <w:rPr>
          <w:rFonts w:cs="Arial"/>
        </w:rPr>
        <w:t>, que comprenden el Estado de Situación Patrimonial al 31 de diciembre de 2014, los correspondientes Estados de Resultados, de Flujos de Efectivo y de Evolución del Patrimonio por el Ejercicio anual finalizado en esa fecha, los Anexos y las notas de políticas contables significativas y otras notas explicativas a los estados financieros.</w:t>
      </w:r>
    </w:p>
    <w:p w:rsidR="008330DC" w:rsidRDefault="008330DC" w:rsidP="008330DC">
      <w:pPr>
        <w:pStyle w:val="Textoindependiente3"/>
        <w:keepNext/>
        <w:widowControl w:val="0"/>
        <w:spacing w:line="360" w:lineRule="auto"/>
        <w:jc w:val="both"/>
        <w:rPr>
          <w:bCs/>
          <w:sz w:val="24"/>
          <w:szCs w:val="24"/>
        </w:rPr>
      </w:pPr>
      <w:r>
        <w:rPr>
          <w:bCs/>
          <w:sz w:val="24"/>
          <w:szCs w:val="24"/>
        </w:rPr>
        <w:t>También se presentan, en caso de corresponder, los incumplimientos legales constatados por el Tribunal de Cuentas en el curso de la auditoría efectuada.</w:t>
      </w:r>
    </w:p>
    <w:p w:rsidR="008330DC" w:rsidRDefault="008330DC" w:rsidP="008330DC">
      <w:pPr>
        <w:keepNext/>
        <w:widowControl w:val="0"/>
      </w:pPr>
    </w:p>
    <w:p w:rsidR="008330DC" w:rsidRDefault="008330DC" w:rsidP="008330DC">
      <w:pPr>
        <w:keepNext/>
        <w:widowControl w:val="0"/>
        <w:spacing w:line="360" w:lineRule="auto"/>
        <w:jc w:val="both"/>
        <w:rPr>
          <w:rFonts w:cs="Arial"/>
          <w:b/>
        </w:rPr>
      </w:pPr>
      <w:r>
        <w:rPr>
          <w:rFonts w:cs="Arial"/>
          <w:b/>
        </w:rPr>
        <w:t>Responsabilidad de la Dirección por los estados financieros</w:t>
      </w:r>
    </w:p>
    <w:p w:rsidR="008330DC" w:rsidRDefault="008330DC" w:rsidP="008330DC">
      <w:pPr>
        <w:keepNext/>
        <w:widowControl w:val="0"/>
        <w:spacing w:line="360" w:lineRule="auto"/>
        <w:jc w:val="both"/>
        <w:rPr>
          <w:rFonts w:cs="Arial"/>
        </w:rPr>
      </w:pPr>
      <w:r>
        <w:rPr>
          <w:rFonts w:cs="Arial"/>
        </w:rPr>
        <w:t xml:space="preserve">La Dirección de </w:t>
      </w:r>
      <w:r>
        <w:rPr>
          <w:lang w:val="es-ES_tradnl"/>
        </w:rPr>
        <w:t>PLUNA EA</w:t>
      </w:r>
      <w:r>
        <w:rPr>
          <w:rFonts w:cs="Arial"/>
        </w:rPr>
        <w:t xml:space="preserve"> es responsable por la preparación y la razonable presentación de estos estados financieros de acuerdo con las normas contables adecuadas en el Uruguay y la Ordenanza Nº 81 del Tribunal de Cuentas.</w:t>
      </w:r>
    </w:p>
    <w:p w:rsidR="008330DC" w:rsidRDefault="008330DC" w:rsidP="008330DC">
      <w:pPr>
        <w:keepNext/>
        <w:widowControl w:val="0"/>
        <w:spacing w:line="360" w:lineRule="auto"/>
        <w:jc w:val="both"/>
        <w:rPr>
          <w:rFonts w:cs="Arial"/>
        </w:rPr>
      </w:pPr>
      <w:r>
        <w:rPr>
          <w:rFonts w:cs="Arial"/>
        </w:rPr>
        <w:t>Esta responsabilidad incluye diseñar, implementar y mantener un sistema de control interno adecuado para la preparación y presentación razonable de estados financieros que estén libres de errores significativos, ya sea debido a fraude o error, seleccionar y aplicar políticas contables apropiadas, y realizar estimaciones contables razonables en las circunstancias.</w:t>
      </w:r>
    </w:p>
    <w:p w:rsidR="008330DC" w:rsidRDefault="008330DC" w:rsidP="008330DC">
      <w:pPr>
        <w:keepNext/>
        <w:widowControl w:val="0"/>
        <w:spacing w:line="360" w:lineRule="auto"/>
        <w:jc w:val="both"/>
        <w:rPr>
          <w:rFonts w:cs="Arial"/>
        </w:rPr>
      </w:pPr>
    </w:p>
    <w:p w:rsidR="008330DC" w:rsidRDefault="008330DC" w:rsidP="008330DC">
      <w:pPr>
        <w:keepNext/>
        <w:widowControl w:val="0"/>
        <w:spacing w:line="360" w:lineRule="auto"/>
        <w:jc w:val="both"/>
        <w:rPr>
          <w:rFonts w:cs="Arial"/>
          <w:b/>
        </w:rPr>
      </w:pPr>
      <w:r>
        <w:rPr>
          <w:rFonts w:cs="Arial"/>
          <w:b/>
        </w:rPr>
        <w:t>Responsabilidad del auditor</w:t>
      </w:r>
    </w:p>
    <w:p w:rsidR="008330DC" w:rsidRDefault="008330DC" w:rsidP="008330DC">
      <w:pPr>
        <w:keepNext/>
        <w:widowControl w:val="0"/>
        <w:spacing w:line="360" w:lineRule="auto"/>
        <w:jc w:val="both"/>
      </w:pPr>
      <w:r>
        <w:rPr>
          <w:rFonts w:cs="Arial"/>
          <w:bCs/>
        </w:rPr>
        <w:t>La responsabilidad del Tribunal</w:t>
      </w:r>
      <w:r>
        <w:t xml:space="preserve"> de Cuentas es expresar una opinión sobre dichos estados financieros basada en la auditoría. Esta auditoría fue practicada de acuerdo con los Principios Fundamentales de Auditoría (ISSAI 100 y 200) y las Directrices de Auditoría Financiera (ISSAI 1000 a 1810) de la Organización Internacional de Entidades Fiscalizadoras Superiores (INTOSAI).</w:t>
      </w:r>
    </w:p>
    <w:p w:rsidR="0031709B" w:rsidRDefault="0031709B" w:rsidP="008330DC">
      <w:pPr>
        <w:keepNext/>
        <w:widowControl w:val="0"/>
        <w:spacing w:line="360" w:lineRule="auto"/>
        <w:jc w:val="both"/>
      </w:pPr>
    </w:p>
    <w:p w:rsidR="008330DC" w:rsidRDefault="008330DC" w:rsidP="008330DC">
      <w:pPr>
        <w:keepNext/>
        <w:widowControl w:val="0"/>
        <w:spacing w:line="360" w:lineRule="auto"/>
        <w:jc w:val="both"/>
      </w:pPr>
      <w:r>
        <w:t>Estas normas requieren que se cumpla con requisitos éticos, se planifique y se realice la auditoría para obtener seguridad razonable acerca de si los estados financieros están libres de errores significativos.</w:t>
      </w:r>
    </w:p>
    <w:p w:rsidR="008330DC" w:rsidRDefault="008330DC" w:rsidP="008330DC">
      <w:pPr>
        <w:keepNext/>
        <w:widowControl w:val="0"/>
        <w:spacing w:line="360" w:lineRule="auto"/>
        <w:jc w:val="both"/>
      </w:pPr>
      <w:r>
        <w:t>Una auditoría implica realizar procedimientos para obtener evidencia acerca de los montos y revelaciones contables. Los procedimientos seleccionados dependen del juicio profesional del auditor, incluyendo la evaluación de los riesgos de existencia de errores significativos en los estados financieros, ya sea debido a fraude o error. Al efectuar la evaluación de riesgos, el auditor considera los aspectos de control interno de la entidad relevantes para la preparación y presentación razonable de los estados financieros con el fin de diseñar los procedimientos de auditoría que sean apropiados en las circunstancias, pero no con el propósito de expresar una opinión acerca de la eficacia del control interno de la entidad. Una auditoría también implica evaluar lo apropiado de las políticas contables utilizadas y la razonabilidad de las estimaciones contables realizadas por la Dirección, así como evaluar la presentación general de los estados financieros.</w:t>
      </w:r>
    </w:p>
    <w:p w:rsidR="008330DC" w:rsidRDefault="008330DC" w:rsidP="008330DC">
      <w:pPr>
        <w:keepNext/>
        <w:widowControl w:val="0"/>
        <w:spacing w:after="260" w:line="360" w:lineRule="auto"/>
        <w:jc w:val="both"/>
      </w:pPr>
      <w:r>
        <w:t>Se considera que la evidencia de auditoría obtenida brinda una base suficiente y apropiada para sustentar la opinión.</w:t>
      </w:r>
    </w:p>
    <w:p w:rsidR="008330DC" w:rsidRDefault="008330DC" w:rsidP="008330DC">
      <w:pPr>
        <w:pStyle w:val="Ttulo1"/>
        <w:widowControl w:val="0"/>
        <w:spacing w:after="0"/>
      </w:pPr>
      <w:r>
        <w:t>Opinión</w:t>
      </w:r>
    </w:p>
    <w:p w:rsidR="008330DC" w:rsidRDefault="008330DC" w:rsidP="008330DC">
      <w:pPr>
        <w:keepNext/>
        <w:widowControl w:val="0"/>
        <w:spacing w:line="360" w:lineRule="auto"/>
        <w:jc w:val="both"/>
        <w:rPr>
          <w:rFonts w:cs="Arial"/>
        </w:rPr>
      </w:pPr>
      <w:r>
        <w:t xml:space="preserve">En opinión del Tribunal de Cuentas, los estados financieros referidos precedentemente, presentan razonablemente en todos sus aspectos importantes, la situación patrimonial de PLUNA EA al 31 de diciembre de 2014, los resultados de sus operaciones y los flujos de efectivo correspondientes al ejercicio anual terminado en esa fecha, de acuerdo con normas contables adecuadas en Uruguay y la Ordenanza Nº 81 </w:t>
      </w:r>
      <w:r>
        <w:rPr>
          <w:rFonts w:cs="Arial"/>
        </w:rPr>
        <w:t>del Tribunal de Cuentas.</w:t>
      </w:r>
    </w:p>
    <w:p w:rsidR="008330DC" w:rsidRDefault="008330DC" w:rsidP="008330DC">
      <w:pPr>
        <w:pStyle w:val="Textoindependiente"/>
        <w:keepNext/>
        <w:widowControl w:val="0"/>
        <w:spacing w:line="360" w:lineRule="auto"/>
        <w:jc w:val="both"/>
        <w:rPr>
          <w:rFonts w:ascii="Arial" w:hAnsi="Arial"/>
        </w:rPr>
      </w:pPr>
      <w:r>
        <w:rPr>
          <w:rFonts w:ascii="Arial" w:hAnsi="Arial"/>
        </w:rPr>
        <w:t>Con relación a las disposiciones legales y reglamentarias vigentes relacionadas con los estados financieros que fueron objeto de examen, se expresa que no se han constatado incumplimientos.</w:t>
      </w:r>
    </w:p>
    <w:p w:rsidR="008330DC" w:rsidRDefault="0031709B" w:rsidP="008330DC">
      <w:pPr>
        <w:pStyle w:val="Sangradetextonormal"/>
        <w:keepNext/>
        <w:widowControl w:val="0"/>
        <w:spacing w:line="360" w:lineRule="auto"/>
        <w:jc w:val="right"/>
      </w:pPr>
      <w:r>
        <w:t>Montevideo, 22 de julio de 2015</w:t>
      </w:r>
    </w:p>
    <w:p w:rsidR="008330DC" w:rsidRDefault="008330DC" w:rsidP="008330DC">
      <w:pPr>
        <w:pStyle w:val="Ttulo2"/>
        <w:widowControl w:val="0"/>
      </w:pPr>
      <w:r>
        <w:t>INFORME A LA ADMINISTRACION</w:t>
      </w:r>
    </w:p>
    <w:p w:rsidR="008330DC" w:rsidRDefault="008330DC" w:rsidP="008330DC">
      <w:pPr>
        <w:pStyle w:val="Textoindependiente2"/>
        <w:keepNext/>
        <w:widowControl w:val="0"/>
        <w:ind w:firstLine="708"/>
      </w:pPr>
    </w:p>
    <w:p w:rsidR="008330DC" w:rsidRDefault="008330DC" w:rsidP="008330DC">
      <w:pPr>
        <w:pStyle w:val="Textoindependiente"/>
        <w:keepNext/>
        <w:widowControl w:val="0"/>
        <w:spacing w:line="360" w:lineRule="auto"/>
        <w:jc w:val="both"/>
        <w:rPr>
          <w:rFonts w:ascii="Arial" w:hAnsi="Arial" w:cs="Arial"/>
        </w:rPr>
      </w:pPr>
      <w:r>
        <w:rPr>
          <w:rFonts w:ascii="Arial" w:hAnsi="Arial" w:cs="Arial"/>
        </w:rPr>
        <w:t>El Tribunal de Cuentas ha examinado los estados financieros de Primeras Líneas Uruguayas de Navegación Aérea Ente Autónomo (PLUNA EA), por el ejercicio anual terminado el 31/12/14 y ha emitido su Dictamen.</w:t>
      </w:r>
    </w:p>
    <w:p w:rsidR="008330DC" w:rsidRDefault="008330DC" w:rsidP="008330DC">
      <w:pPr>
        <w:pStyle w:val="Textoindependiente2"/>
        <w:keepNext/>
        <w:widowControl w:val="0"/>
        <w:rPr>
          <w:rFonts w:cs="Arial"/>
          <w:lang w:val="es-ES"/>
        </w:rPr>
      </w:pPr>
      <w:r>
        <w:rPr>
          <w:rFonts w:cs="Arial"/>
          <w:lang w:val="es-ES"/>
        </w:rPr>
        <w:t>Este informe contiene consideraciones relativas a la evaluación de control interno. Se incluyen, además, comentarios que se ha entendido conveniente exponer, relacionados con la situación de determinados capítulos y rubros de los estados examinados y con disposiciones legales vigentes.</w:t>
      </w:r>
    </w:p>
    <w:p w:rsidR="008330DC" w:rsidRDefault="008330DC" w:rsidP="008330DC">
      <w:pPr>
        <w:pStyle w:val="Textoindependiente2"/>
        <w:keepNext/>
        <w:widowControl w:val="0"/>
        <w:rPr>
          <w:rFonts w:cs="Arial"/>
          <w:lang w:val="es-ES"/>
        </w:rPr>
      </w:pPr>
      <w:r>
        <w:rPr>
          <w:rFonts w:cs="Arial"/>
          <w:lang w:val="es-ES"/>
        </w:rPr>
        <w:t xml:space="preserve">También se agregan las principales recomendaciones que </w:t>
      </w:r>
      <w:proofErr w:type="gramStart"/>
      <w:r>
        <w:rPr>
          <w:rFonts w:cs="Arial"/>
          <w:lang w:val="es-ES"/>
        </w:rPr>
        <w:t>deberá</w:t>
      </w:r>
      <w:proofErr w:type="gramEnd"/>
      <w:r>
        <w:rPr>
          <w:rFonts w:cs="Arial"/>
          <w:lang w:val="es-ES"/>
        </w:rPr>
        <w:t xml:space="preserve"> atender el Organismo y una evaluación del cumplimiento de las recomendaciones presentadas en el Informe de Auditoría del ejercicio anterior.</w:t>
      </w:r>
    </w:p>
    <w:p w:rsidR="008330DC" w:rsidRPr="003F1415" w:rsidRDefault="008330DC" w:rsidP="008330DC">
      <w:pPr>
        <w:keepNext/>
        <w:widowControl w:val="0"/>
        <w:spacing w:line="360" w:lineRule="auto"/>
        <w:ind w:left="357"/>
        <w:jc w:val="both"/>
        <w:rPr>
          <w:rFonts w:cs="Arial"/>
          <w:b/>
        </w:rPr>
      </w:pPr>
    </w:p>
    <w:p w:rsidR="008330DC" w:rsidRPr="00525A89" w:rsidRDefault="0031709B" w:rsidP="008330DC">
      <w:pPr>
        <w:pStyle w:val="Prrafodelista"/>
        <w:keepNext/>
        <w:widowControl w:val="0"/>
        <w:numPr>
          <w:ilvl w:val="0"/>
          <w:numId w:val="7"/>
        </w:numPr>
        <w:spacing w:line="360" w:lineRule="auto"/>
        <w:jc w:val="both"/>
        <w:rPr>
          <w:rFonts w:cs="Arial"/>
          <w:b/>
          <w:lang w:val="es-ES_tradnl"/>
        </w:rPr>
      </w:pPr>
      <w:r>
        <w:rPr>
          <w:rFonts w:cs="Arial"/>
          <w:b/>
          <w:lang w:val="es-ES_tradnl"/>
        </w:rPr>
        <w:t>Presentación de los Estados</w:t>
      </w:r>
    </w:p>
    <w:p w:rsidR="008330DC" w:rsidRDefault="008330DC" w:rsidP="008330DC">
      <w:pPr>
        <w:keepNext/>
        <w:widowControl w:val="0"/>
        <w:tabs>
          <w:tab w:val="left" w:pos="0"/>
        </w:tabs>
        <w:spacing w:line="360" w:lineRule="auto"/>
        <w:jc w:val="both"/>
        <w:rPr>
          <w:rFonts w:cs="Arial"/>
        </w:rPr>
      </w:pPr>
      <w:r>
        <w:rPr>
          <w:rFonts w:cs="Arial"/>
          <w:lang w:val="es-ES_tradnl"/>
        </w:rPr>
        <w:t xml:space="preserve">Los estados financieros de PLUNA EA correspondientes al ejercicio finalizado el 31 de diciembre de 2014, fueron aprobados por Resolución de Directorio                 </w:t>
      </w:r>
      <w:r>
        <w:rPr>
          <w:lang w:val="es-ES_tradnl"/>
        </w:rPr>
        <w:t>Nº 16.480, de fecha 26 de marzo de 2015</w:t>
      </w:r>
      <w:r w:rsidRPr="00A77901">
        <w:rPr>
          <w:rFonts w:cs="Arial"/>
        </w:rPr>
        <w:t xml:space="preserve"> </w:t>
      </w:r>
      <w:r>
        <w:rPr>
          <w:rFonts w:cs="Arial"/>
        </w:rPr>
        <w:t>y remitidos para su examen a este Tribunal el 6 de abril de 2015.</w:t>
      </w:r>
    </w:p>
    <w:p w:rsidR="008330DC" w:rsidRDefault="008330DC" w:rsidP="008330DC">
      <w:pPr>
        <w:keepNext/>
        <w:widowControl w:val="0"/>
        <w:tabs>
          <w:tab w:val="left" w:pos="0"/>
        </w:tabs>
        <w:spacing w:line="360" w:lineRule="auto"/>
        <w:jc w:val="both"/>
      </w:pPr>
      <w:r>
        <w:t>Dichos estados se confeccionaron siguiendo las normas contables adecuadas en el Uruguay y los criterios establecidos en la Ordenanza Nº 81 del Tribunal de Cuentas.</w:t>
      </w:r>
    </w:p>
    <w:p w:rsidR="008330DC" w:rsidRDefault="008330DC" w:rsidP="008330DC">
      <w:pPr>
        <w:keepNext/>
        <w:widowControl w:val="0"/>
        <w:tabs>
          <w:tab w:val="left" w:pos="0"/>
        </w:tabs>
        <w:spacing w:line="360" w:lineRule="auto"/>
        <w:ind w:firstLine="851"/>
        <w:jc w:val="both"/>
      </w:pPr>
    </w:p>
    <w:p w:rsidR="008330DC" w:rsidRPr="00A70684" w:rsidRDefault="008330DC" w:rsidP="008330DC">
      <w:pPr>
        <w:pStyle w:val="Prrafodelista"/>
        <w:keepNext/>
        <w:widowControl w:val="0"/>
        <w:numPr>
          <w:ilvl w:val="0"/>
          <w:numId w:val="7"/>
        </w:numPr>
        <w:spacing w:line="360" w:lineRule="auto"/>
        <w:jc w:val="both"/>
        <w:rPr>
          <w:rFonts w:cs="Arial"/>
          <w:b/>
        </w:rPr>
      </w:pPr>
      <w:r>
        <w:rPr>
          <w:rFonts w:cs="Arial"/>
          <w:b/>
        </w:rPr>
        <w:t xml:space="preserve">Evaluación de </w:t>
      </w:r>
      <w:r w:rsidRPr="00A70684">
        <w:rPr>
          <w:rFonts w:cs="Arial"/>
          <w:b/>
        </w:rPr>
        <w:t>Control Interno</w:t>
      </w:r>
    </w:p>
    <w:p w:rsidR="008330DC" w:rsidRDefault="008330DC" w:rsidP="008330DC">
      <w:pPr>
        <w:keepNext/>
        <w:widowControl w:val="0"/>
        <w:spacing w:line="360" w:lineRule="auto"/>
        <w:jc w:val="both"/>
        <w:rPr>
          <w:rFonts w:cs="Arial"/>
          <w:bCs/>
          <w:szCs w:val="20"/>
          <w:lang w:val="es-UY"/>
        </w:rPr>
      </w:pPr>
      <w:r>
        <w:rPr>
          <w:rFonts w:cs="Arial"/>
          <w:bCs/>
          <w:szCs w:val="20"/>
        </w:rPr>
        <w:t>La evaluación de control interno fue realizada para establecer los procedimientos de auditoría que debían aplicarse como prueba de la eficacia de los controles implementados en relación con el objetivo de la auditoría practicada y no para emitir una opinión respecto del mismo.</w:t>
      </w:r>
    </w:p>
    <w:p w:rsidR="008330DC" w:rsidRDefault="008330DC" w:rsidP="008330DC">
      <w:pPr>
        <w:keepNext/>
        <w:widowControl w:val="0"/>
        <w:spacing w:line="360" w:lineRule="auto"/>
        <w:jc w:val="both"/>
        <w:rPr>
          <w:rFonts w:cs="Arial"/>
          <w:bCs/>
          <w:szCs w:val="20"/>
        </w:rPr>
      </w:pPr>
    </w:p>
    <w:p w:rsidR="008330DC" w:rsidRDefault="008330DC" w:rsidP="008330DC">
      <w:pPr>
        <w:pStyle w:val="Textoindependiente"/>
        <w:keepNext/>
        <w:widowControl w:val="0"/>
        <w:spacing w:line="360" w:lineRule="auto"/>
        <w:jc w:val="both"/>
        <w:rPr>
          <w:rFonts w:ascii="Arial" w:hAnsi="Arial" w:cs="Arial"/>
        </w:rPr>
      </w:pPr>
      <w:r w:rsidRPr="00C93E6D">
        <w:rPr>
          <w:rFonts w:ascii="Arial" w:hAnsi="Arial" w:cs="Arial"/>
          <w:bCs/>
        </w:rPr>
        <w:t xml:space="preserve">Su evaluación </w:t>
      </w:r>
      <w:r w:rsidRPr="00C93E6D">
        <w:rPr>
          <w:rFonts w:ascii="Arial" w:hAnsi="Arial" w:cs="Arial"/>
        </w:rPr>
        <w:t>permitió constatar las siguientes debilidades en relación a las actividades de control e información:</w:t>
      </w:r>
    </w:p>
    <w:p w:rsidR="008330DC" w:rsidRDefault="008330DC" w:rsidP="008330DC">
      <w:pPr>
        <w:pStyle w:val="Continuarlista1"/>
        <w:keepNext/>
        <w:widowControl w:val="0"/>
        <w:numPr>
          <w:ilvl w:val="0"/>
          <w:numId w:val="0"/>
        </w:numPr>
        <w:tabs>
          <w:tab w:val="left" w:pos="284"/>
        </w:tabs>
        <w:suppressAutoHyphens w:val="0"/>
        <w:spacing w:after="0" w:line="360" w:lineRule="auto"/>
        <w:jc w:val="both"/>
        <w:rPr>
          <w:rFonts w:ascii="Arial" w:hAnsi="Arial" w:cs="Arial"/>
          <w:lang w:val="es-CO"/>
        </w:rPr>
      </w:pPr>
      <w:r w:rsidRPr="009049C9">
        <w:rPr>
          <w:rFonts w:ascii="Arial" w:hAnsi="Arial" w:cs="Arial"/>
          <w:b/>
          <w:spacing w:val="-1"/>
          <w:lang w:val="es-ES_tradnl"/>
        </w:rPr>
        <w:t>2.1</w:t>
      </w:r>
      <w:r>
        <w:rPr>
          <w:rFonts w:cs="Arial"/>
          <w:b/>
          <w:spacing w:val="-1"/>
        </w:rPr>
        <w:t xml:space="preserve"> </w:t>
      </w:r>
      <w:r>
        <w:rPr>
          <w:rFonts w:ascii="Arial" w:hAnsi="Arial" w:cs="Arial"/>
          <w:lang w:val="es-CO"/>
        </w:rPr>
        <w:t>PLUNA E.A. carece de manuales de procedimientos para cada una de las áreas que integra</w:t>
      </w:r>
      <w:r w:rsidR="0031709B">
        <w:rPr>
          <w:rFonts w:ascii="Arial" w:hAnsi="Arial" w:cs="Arial"/>
          <w:lang w:val="es-CO"/>
        </w:rPr>
        <w:t>n su estructura organizacional.</w:t>
      </w:r>
    </w:p>
    <w:p w:rsidR="008330DC" w:rsidRDefault="008330DC" w:rsidP="008330DC">
      <w:pPr>
        <w:pStyle w:val="Continuarlista1"/>
        <w:keepNext/>
        <w:widowControl w:val="0"/>
        <w:numPr>
          <w:ilvl w:val="0"/>
          <w:numId w:val="0"/>
        </w:numPr>
        <w:tabs>
          <w:tab w:val="left" w:pos="284"/>
        </w:tabs>
        <w:suppressAutoHyphens w:val="0"/>
        <w:spacing w:after="0" w:line="360" w:lineRule="auto"/>
        <w:jc w:val="both"/>
        <w:rPr>
          <w:rFonts w:ascii="Arial" w:hAnsi="Arial" w:cs="Arial"/>
          <w:lang w:val="es-CO"/>
        </w:rPr>
      </w:pPr>
    </w:p>
    <w:p w:rsidR="008330DC" w:rsidRDefault="008330DC" w:rsidP="008330DC">
      <w:pPr>
        <w:pStyle w:val="Continuarlista1"/>
        <w:keepNext/>
        <w:widowControl w:val="0"/>
        <w:numPr>
          <w:ilvl w:val="0"/>
          <w:numId w:val="0"/>
        </w:numPr>
        <w:tabs>
          <w:tab w:val="left" w:pos="284"/>
        </w:tabs>
        <w:suppressAutoHyphens w:val="0"/>
        <w:spacing w:after="0" w:line="360" w:lineRule="auto"/>
        <w:jc w:val="both"/>
        <w:rPr>
          <w:rFonts w:ascii="Arial" w:hAnsi="Arial" w:cs="Arial"/>
        </w:rPr>
      </w:pPr>
      <w:r w:rsidRPr="009049C9">
        <w:rPr>
          <w:rFonts w:ascii="Arial" w:hAnsi="Arial" w:cs="Arial"/>
          <w:b/>
          <w:lang w:val="es-CO"/>
        </w:rPr>
        <w:t>2.2</w:t>
      </w:r>
      <w:r>
        <w:rPr>
          <w:rFonts w:ascii="Arial" w:hAnsi="Arial" w:cs="Arial"/>
          <w:b/>
          <w:lang w:val="es-CO"/>
        </w:rPr>
        <w:t xml:space="preserve"> </w:t>
      </w:r>
      <w:r>
        <w:rPr>
          <w:rFonts w:ascii="Arial" w:hAnsi="Arial" w:cs="Arial"/>
        </w:rPr>
        <w:t>La Auditoría Interna no ha efectuado arqueos sorpresivos durante el ejercicio, a los efectos de verificar la integridad y disponibilidad efectiva de los fondos y valores que se encuentran en custodia de la Tesorería.</w:t>
      </w:r>
    </w:p>
    <w:p w:rsidR="008330DC" w:rsidRPr="00142A2F" w:rsidRDefault="008330DC" w:rsidP="008330DC">
      <w:pPr>
        <w:pStyle w:val="Continuarlista1"/>
        <w:keepNext/>
        <w:widowControl w:val="0"/>
        <w:numPr>
          <w:ilvl w:val="0"/>
          <w:numId w:val="0"/>
        </w:numPr>
        <w:tabs>
          <w:tab w:val="left" w:pos="284"/>
        </w:tabs>
        <w:suppressAutoHyphens w:val="0"/>
        <w:spacing w:after="0" w:line="360" w:lineRule="auto"/>
        <w:jc w:val="both"/>
        <w:rPr>
          <w:rFonts w:ascii="Arial" w:hAnsi="Arial" w:cs="Arial"/>
          <w:lang w:val="es-CO"/>
        </w:rPr>
      </w:pPr>
    </w:p>
    <w:p w:rsidR="008330DC" w:rsidRDefault="008330DC" w:rsidP="008330DC">
      <w:pPr>
        <w:pStyle w:val="Continuarlista1"/>
        <w:keepNext/>
        <w:widowControl w:val="0"/>
        <w:numPr>
          <w:ilvl w:val="0"/>
          <w:numId w:val="0"/>
        </w:numPr>
        <w:suppressAutoHyphens w:val="0"/>
        <w:spacing w:after="0" w:line="360" w:lineRule="auto"/>
        <w:jc w:val="both"/>
        <w:rPr>
          <w:rFonts w:ascii="Arial" w:hAnsi="Arial" w:cs="Arial"/>
          <w:i/>
          <w:lang w:val="es-UY"/>
        </w:rPr>
      </w:pPr>
      <w:r w:rsidRPr="009049C9">
        <w:rPr>
          <w:rFonts w:ascii="Arial" w:hAnsi="Arial" w:cs="Arial"/>
          <w:b/>
          <w:lang w:val="es-CO"/>
        </w:rPr>
        <w:t>2.3</w:t>
      </w:r>
      <w:r>
        <w:rPr>
          <w:rFonts w:ascii="Arial" w:hAnsi="Arial" w:cs="Arial"/>
          <w:lang w:val="es-CO"/>
        </w:rPr>
        <w:t xml:space="preserve"> </w:t>
      </w:r>
      <w:r w:rsidRPr="003A5A2E">
        <w:rPr>
          <w:rFonts w:ascii="Arial" w:hAnsi="Arial" w:cs="Arial"/>
          <w:lang w:val="es-CO"/>
        </w:rPr>
        <w:t>L</w:t>
      </w:r>
      <w:r w:rsidRPr="003A5A2E">
        <w:rPr>
          <w:rFonts w:ascii="Arial" w:hAnsi="Arial" w:cs="Arial"/>
          <w:lang w:val="es-UY"/>
        </w:rPr>
        <w:t xml:space="preserve">os fondos cobrados por concepto de convenio </w:t>
      </w:r>
      <w:proofErr w:type="spellStart"/>
      <w:r w:rsidRPr="003A5A2E">
        <w:rPr>
          <w:rFonts w:ascii="Arial" w:hAnsi="Arial" w:cs="Arial"/>
          <w:lang w:val="es-UY"/>
        </w:rPr>
        <w:t>Martinelli</w:t>
      </w:r>
      <w:proofErr w:type="spellEnd"/>
      <w:r w:rsidRPr="003A5A2E">
        <w:rPr>
          <w:rFonts w:ascii="Arial" w:hAnsi="Arial" w:cs="Arial"/>
          <w:lang w:val="es-UY"/>
        </w:rPr>
        <w:t>–PLUNA, los reintegros de viáticos y los remanentes devueltos por fondos sujetos a rendición,</w:t>
      </w:r>
      <w:r w:rsidRPr="003A5A2E">
        <w:rPr>
          <w:rFonts w:ascii="Arial" w:hAnsi="Arial" w:cs="Arial"/>
          <w:color w:val="545454"/>
          <w:shd w:val="clear" w:color="auto" w:fill="FFFFFF"/>
        </w:rPr>
        <w:t xml:space="preserve"> </w:t>
      </w:r>
      <w:r w:rsidRPr="009049C9">
        <w:rPr>
          <w:rStyle w:val="nfasis"/>
          <w:rFonts w:ascii="Arial" w:hAnsi="Arial" w:cs="Arial"/>
          <w:bCs/>
          <w:i w:val="0"/>
          <w:shd w:val="clear" w:color="auto" w:fill="FFFFFF"/>
        </w:rPr>
        <w:t>son deposit</w:t>
      </w:r>
      <w:r>
        <w:rPr>
          <w:rStyle w:val="nfasis"/>
          <w:rFonts w:ascii="Arial" w:hAnsi="Arial" w:cs="Arial"/>
          <w:bCs/>
          <w:i w:val="0"/>
          <w:shd w:val="clear" w:color="auto" w:fill="FFFFFF"/>
        </w:rPr>
        <w:t>ados en la cuenta bancaria del E</w:t>
      </w:r>
      <w:r w:rsidRPr="009049C9">
        <w:rPr>
          <w:rStyle w:val="nfasis"/>
          <w:rFonts w:ascii="Arial" w:hAnsi="Arial" w:cs="Arial"/>
          <w:bCs/>
          <w:i w:val="0"/>
          <w:shd w:val="clear" w:color="auto" w:fill="FFFFFF"/>
        </w:rPr>
        <w:t>nte</w:t>
      </w:r>
      <w:r w:rsidRPr="009049C9">
        <w:rPr>
          <w:rFonts w:ascii="Arial" w:hAnsi="Arial" w:cs="Arial"/>
          <w:shd w:val="clear" w:color="auto" w:fill="FFFFFF"/>
        </w:rPr>
        <w:t>, en algunos casos</w:t>
      </w:r>
      <w:r w:rsidRPr="009049C9">
        <w:rPr>
          <w:rStyle w:val="apple-converted-space"/>
          <w:rFonts w:ascii="Arial" w:hAnsi="Arial" w:cs="Arial"/>
          <w:shd w:val="clear" w:color="auto" w:fill="FFFFFF"/>
        </w:rPr>
        <w:t> </w:t>
      </w:r>
      <w:r w:rsidRPr="009049C9">
        <w:rPr>
          <w:rStyle w:val="nfasis"/>
          <w:rFonts w:ascii="Arial" w:hAnsi="Arial" w:cs="Arial"/>
          <w:bCs/>
          <w:i w:val="0"/>
          <w:shd w:val="clear" w:color="auto" w:fill="FFFFFF"/>
        </w:rPr>
        <w:t>tres meses después de s</w:t>
      </w:r>
      <w:r>
        <w:rPr>
          <w:rStyle w:val="nfasis"/>
          <w:rFonts w:ascii="Arial" w:hAnsi="Arial" w:cs="Arial"/>
          <w:bCs/>
          <w:i w:val="0"/>
          <w:shd w:val="clear" w:color="auto" w:fill="FFFFFF"/>
        </w:rPr>
        <w:t>u cobro</w:t>
      </w:r>
      <w:r w:rsidRPr="009049C9">
        <w:rPr>
          <w:rFonts w:ascii="Arial" w:hAnsi="Arial" w:cs="Arial"/>
          <w:i/>
          <w:lang w:val="es-UY"/>
        </w:rPr>
        <w:t>.</w:t>
      </w:r>
    </w:p>
    <w:p w:rsidR="008330DC" w:rsidRPr="009049C9" w:rsidRDefault="008330DC" w:rsidP="008330DC">
      <w:pPr>
        <w:pStyle w:val="Continuarlista1"/>
        <w:keepNext/>
        <w:widowControl w:val="0"/>
        <w:numPr>
          <w:ilvl w:val="0"/>
          <w:numId w:val="0"/>
        </w:numPr>
        <w:suppressAutoHyphens w:val="0"/>
        <w:spacing w:after="0" w:line="360" w:lineRule="auto"/>
        <w:jc w:val="both"/>
        <w:rPr>
          <w:rFonts w:ascii="Arial" w:hAnsi="Arial" w:cs="Arial"/>
          <w:i/>
        </w:rPr>
      </w:pPr>
    </w:p>
    <w:p w:rsidR="008330DC" w:rsidRDefault="008330DC" w:rsidP="008330DC">
      <w:pPr>
        <w:pStyle w:val="Textoindependiente1"/>
        <w:keepNext/>
        <w:widowControl w:val="0"/>
        <w:suppressAutoHyphens w:val="0"/>
        <w:snapToGrid w:val="0"/>
        <w:spacing w:before="0" w:after="0" w:line="360" w:lineRule="auto"/>
        <w:ind w:right="98"/>
        <w:rPr>
          <w:rFonts w:ascii="Arial" w:eastAsia="Arial Unicode MS" w:hAnsi="Arial" w:cs="Arial"/>
          <w:bCs/>
          <w:sz w:val="24"/>
          <w:szCs w:val="24"/>
        </w:rPr>
      </w:pPr>
      <w:r w:rsidRPr="009452A5">
        <w:rPr>
          <w:rFonts w:ascii="Arial" w:eastAsia="Arial Unicode MS" w:hAnsi="Arial" w:cs="Arial"/>
          <w:b/>
          <w:bCs/>
          <w:sz w:val="24"/>
          <w:szCs w:val="24"/>
        </w:rPr>
        <w:t>2.4</w:t>
      </w:r>
      <w:r>
        <w:rPr>
          <w:rFonts w:ascii="Arial" w:eastAsia="Arial Unicode MS" w:hAnsi="Arial" w:cs="Arial"/>
          <w:bCs/>
          <w:sz w:val="24"/>
          <w:szCs w:val="24"/>
        </w:rPr>
        <w:t xml:space="preserve"> </w:t>
      </w:r>
      <w:r w:rsidRPr="00D230B2">
        <w:rPr>
          <w:rFonts w:ascii="Arial" w:eastAsia="Arial Unicode MS" w:hAnsi="Arial" w:cs="Arial"/>
          <w:bCs/>
          <w:sz w:val="24"/>
          <w:szCs w:val="24"/>
        </w:rPr>
        <w:t>Se ha constatado que no existe reglamentación relativa al monto mínimo con el</w:t>
      </w:r>
      <w:r>
        <w:rPr>
          <w:rFonts w:ascii="Arial" w:eastAsia="Arial Unicode MS" w:hAnsi="Arial" w:cs="Arial"/>
          <w:bCs/>
          <w:sz w:val="24"/>
          <w:szCs w:val="24"/>
        </w:rPr>
        <w:t xml:space="preserve"> que debe operar el fondo fijo asignado a la Gerencia de Dirección y Administración.</w:t>
      </w:r>
    </w:p>
    <w:p w:rsidR="008330DC" w:rsidRPr="00D230B2" w:rsidRDefault="008330DC" w:rsidP="008330DC">
      <w:pPr>
        <w:pStyle w:val="Textoindependiente1"/>
        <w:keepNext/>
        <w:widowControl w:val="0"/>
        <w:suppressAutoHyphens w:val="0"/>
        <w:snapToGrid w:val="0"/>
        <w:spacing w:before="0" w:after="0" w:line="360" w:lineRule="auto"/>
        <w:ind w:right="98"/>
        <w:rPr>
          <w:rFonts w:ascii="Arial" w:eastAsia="Arial Unicode MS" w:hAnsi="Arial" w:cs="Arial"/>
          <w:bCs/>
          <w:sz w:val="24"/>
          <w:szCs w:val="24"/>
        </w:rPr>
      </w:pPr>
    </w:p>
    <w:p w:rsidR="008330DC" w:rsidRPr="00054B6F" w:rsidRDefault="008330DC" w:rsidP="008330DC">
      <w:pPr>
        <w:pStyle w:val="Textoindependiente1"/>
        <w:keepNext/>
        <w:widowControl w:val="0"/>
        <w:suppressAutoHyphens w:val="0"/>
        <w:snapToGrid w:val="0"/>
        <w:spacing w:before="0" w:after="0" w:line="360" w:lineRule="auto"/>
        <w:ind w:right="98"/>
        <w:rPr>
          <w:rFonts w:ascii="Arial" w:hAnsi="Arial" w:cs="Arial"/>
          <w:sz w:val="24"/>
          <w:szCs w:val="24"/>
        </w:rPr>
      </w:pPr>
      <w:r w:rsidRPr="009452A5">
        <w:rPr>
          <w:rFonts w:ascii="Arial" w:hAnsi="Arial" w:cs="Arial"/>
          <w:b/>
          <w:sz w:val="24"/>
          <w:szCs w:val="24"/>
        </w:rPr>
        <w:t>2.5</w:t>
      </w:r>
      <w:r>
        <w:rPr>
          <w:rFonts w:ascii="Arial" w:hAnsi="Arial" w:cs="Arial"/>
          <w:b/>
          <w:sz w:val="24"/>
          <w:szCs w:val="24"/>
        </w:rPr>
        <w:t xml:space="preserve"> </w:t>
      </w:r>
      <w:r>
        <w:rPr>
          <w:rFonts w:ascii="Arial" w:hAnsi="Arial" w:cs="Arial"/>
          <w:sz w:val="24"/>
          <w:szCs w:val="24"/>
        </w:rPr>
        <w:t>H</w:t>
      </w:r>
      <w:r w:rsidRPr="00054B6F">
        <w:rPr>
          <w:rFonts w:ascii="Arial" w:hAnsi="Arial" w:cs="Arial"/>
          <w:sz w:val="24"/>
          <w:szCs w:val="24"/>
        </w:rPr>
        <w:t xml:space="preserve">emos considerado pertinente utilizar el trabajo de </w:t>
      </w:r>
      <w:r>
        <w:rPr>
          <w:rFonts w:ascii="Arial" w:hAnsi="Arial" w:cs="Arial"/>
          <w:sz w:val="24"/>
          <w:szCs w:val="24"/>
        </w:rPr>
        <w:t>la Auditoría Interna (ISSAI 1610), cuyos papeles de trabajo evidencian deficiencias de</w:t>
      </w:r>
      <w:r w:rsidRPr="00054B6F">
        <w:rPr>
          <w:rFonts w:ascii="Arial" w:hAnsi="Arial" w:cs="Arial"/>
          <w:sz w:val="24"/>
          <w:szCs w:val="24"/>
        </w:rPr>
        <w:t xml:space="preserve"> control interno</w:t>
      </w:r>
      <w:r>
        <w:rPr>
          <w:rFonts w:ascii="Arial" w:hAnsi="Arial" w:cs="Arial"/>
          <w:sz w:val="24"/>
          <w:szCs w:val="24"/>
        </w:rPr>
        <w:t xml:space="preserve"> </w:t>
      </w:r>
      <w:r w:rsidRPr="00054B6F">
        <w:rPr>
          <w:rFonts w:ascii="Arial" w:hAnsi="Arial" w:cs="Arial"/>
          <w:sz w:val="24"/>
          <w:szCs w:val="24"/>
        </w:rPr>
        <w:t>en el manejo de las partidas abonadas a los servicios técn</w:t>
      </w:r>
      <w:r>
        <w:rPr>
          <w:rFonts w:ascii="Arial" w:hAnsi="Arial" w:cs="Arial"/>
          <w:sz w:val="24"/>
          <w:szCs w:val="24"/>
        </w:rPr>
        <w:t xml:space="preserve">icos contratados en el exterior. El mismo deberá mejorarse atendiendo fundamentalmente al mantenimiento de un archivo completo de antecedentes, que permita el conocimiento y control de las condiciones de contratación de cada profesional y la intervención de la División Jurídica en el asesoramiento a la Gerencia Económico-Financiera, considerando el </w:t>
      </w:r>
      <w:proofErr w:type="spellStart"/>
      <w:r>
        <w:rPr>
          <w:rFonts w:ascii="Arial" w:hAnsi="Arial" w:cs="Arial"/>
          <w:sz w:val="24"/>
          <w:szCs w:val="24"/>
        </w:rPr>
        <w:t>devengamiento</w:t>
      </w:r>
      <w:proofErr w:type="spellEnd"/>
      <w:r>
        <w:rPr>
          <w:rFonts w:ascii="Arial" w:hAnsi="Arial" w:cs="Arial"/>
          <w:sz w:val="24"/>
          <w:szCs w:val="24"/>
        </w:rPr>
        <w:t xml:space="preserve"> de los honorarios que pretenda cobrar cada asesor contratado, opinando sobre la cantidad y oportunidad del pago.</w:t>
      </w:r>
    </w:p>
    <w:p w:rsidR="008330DC" w:rsidRPr="003F1415" w:rsidRDefault="008330DC" w:rsidP="008330DC">
      <w:pPr>
        <w:pStyle w:val="sangra3detindependiente3"/>
        <w:keepNext/>
        <w:widowControl w:val="0"/>
        <w:tabs>
          <w:tab w:val="num" w:pos="567"/>
        </w:tabs>
        <w:ind w:left="567" w:hanging="567"/>
        <w:rPr>
          <w:rFonts w:ascii="Arial" w:hAnsi="Arial" w:cs="Arial"/>
          <w:lang w:val="es-ES_tradnl"/>
        </w:rPr>
      </w:pPr>
    </w:p>
    <w:p w:rsidR="008330DC" w:rsidRDefault="008330DC" w:rsidP="008330DC">
      <w:pPr>
        <w:pStyle w:val="Textoindependiente2"/>
        <w:keepNext/>
        <w:widowControl w:val="0"/>
        <w:tabs>
          <w:tab w:val="left" w:pos="426"/>
        </w:tabs>
        <w:ind w:firstLine="142"/>
        <w:rPr>
          <w:b/>
        </w:rPr>
      </w:pPr>
      <w:r>
        <w:rPr>
          <w:b/>
        </w:rPr>
        <w:t xml:space="preserve">   3- Otras constataciones</w:t>
      </w:r>
    </w:p>
    <w:p w:rsidR="008330DC" w:rsidRDefault="008330DC" w:rsidP="008330DC">
      <w:pPr>
        <w:pStyle w:val="Textoindependiente"/>
        <w:keepNext/>
        <w:widowControl w:val="0"/>
        <w:tabs>
          <w:tab w:val="left" w:pos="360"/>
          <w:tab w:val="left" w:pos="1560"/>
          <w:tab w:val="right" w:pos="5387"/>
          <w:tab w:val="right" w:pos="7513"/>
        </w:tabs>
        <w:spacing w:line="360" w:lineRule="auto"/>
        <w:jc w:val="both"/>
        <w:rPr>
          <w:rFonts w:ascii="Arial" w:hAnsi="Arial"/>
          <w:lang w:val="es-ES"/>
        </w:rPr>
      </w:pPr>
      <w:r>
        <w:rPr>
          <w:rFonts w:ascii="Arial" w:hAnsi="Arial"/>
          <w:lang w:val="es-ES"/>
        </w:rPr>
        <w:tab/>
        <w:t>Contablemente, el certificado de crédito 2013 por $ 267.373, se aplicó a la cancelación parcial de las retenciones por IRNR por $ 106.378 e IRPF                   por $ 160.995. Al inspeccionar su pago, se constató que el crédito quedó imputado al pago del IRPF, por lo cual deberá efectuar el cambio de imputación mediante la presentación del formulario 2/254 en la DGI.</w:t>
      </w:r>
    </w:p>
    <w:p w:rsidR="008330DC" w:rsidRPr="009452A5" w:rsidRDefault="008330DC" w:rsidP="008330DC">
      <w:pPr>
        <w:pStyle w:val="Textoindependiente2"/>
        <w:keepNext/>
        <w:widowControl w:val="0"/>
        <w:tabs>
          <w:tab w:val="left" w:pos="0"/>
        </w:tabs>
        <w:rPr>
          <w:rFonts w:cs="Arial"/>
          <w:b/>
          <w:lang w:val="es-ES"/>
        </w:rPr>
      </w:pPr>
    </w:p>
    <w:p w:rsidR="008330DC" w:rsidRDefault="008330DC" w:rsidP="008330DC">
      <w:pPr>
        <w:keepNext/>
        <w:widowControl w:val="0"/>
        <w:tabs>
          <w:tab w:val="left" w:pos="426"/>
          <w:tab w:val="left" w:pos="709"/>
        </w:tabs>
        <w:spacing w:line="360" w:lineRule="auto"/>
        <w:ind w:firstLine="284"/>
        <w:jc w:val="both"/>
        <w:rPr>
          <w:b/>
          <w:bCs/>
        </w:rPr>
      </w:pPr>
      <w:r>
        <w:rPr>
          <w:b/>
          <w:bCs/>
        </w:rPr>
        <w:t xml:space="preserve"> 4- Recomendaciones</w:t>
      </w:r>
    </w:p>
    <w:p w:rsidR="008330DC" w:rsidRDefault="008330DC" w:rsidP="008330DC">
      <w:pPr>
        <w:keepNext/>
        <w:widowControl w:val="0"/>
        <w:tabs>
          <w:tab w:val="left" w:pos="426"/>
        </w:tabs>
        <w:spacing w:line="360" w:lineRule="auto"/>
        <w:jc w:val="both"/>
        <w:rPr>
          <w:rFonts w:cs="Arial"/>
          <w:b/>
        </w:rPr>
      </w:pPr>
      <w:r>
        <w:rPr>
          <w:rFonts w:cs="Arial"/>
          <w:b/>
        </w:rPr>
        <w:t>4.1 Recomendaciones de Ejercicios anteriores</w:t>
      </w:r>
    </w:p>
    <w:p w:rsidR="008330DC" w:rsidRDefault="008330DC" w:rsidP="008330DC">
      <w:pPr>
        <w:keepNext/>
        <w:widowControl w:val="0"/>
        <w:spacing w:line="360" w:lineRule="auto"/>
        <w:jc w:val="both"/>
        <w:rPr>
          <w:rFonts w:cs="Arial"/>
          <w:b/>
        </w:rPr>
      </w:pPr>
      <w:r>
        <w:rPr>
          <w:rFonts w:cs="Arial"/>
          <w:b/>
        </w:rPr>
        <w:t>4.1.1 Cumplidas</w:t>
      </w:r>
    </w:p>
    <w:p w:rsidR="008330DC" w:rsidRPr="00221835" w:rsidRDefault="008330DC" w:rsidP="008330DC">
      <w:pPr>
        <w:pStyle w:val="Prrafodelista"/>
        <w:keepNext/>
        <w:widowControl w:val="0"/>
        <w:numPr>
          <w:ilvl w:val="0"/>
          <w:numId w:val="11"/>
        </w:numPr>
        <w:spacing w:line="360" w:lineRule="auto"/>
        <w:ind w:hanging="436"/>
        <w:jc w:val="both"/>
        <w:rPr>
          <w:rFonts w:cs="Arial"/>
          <w:bCs/>
          <w:lang w:val="es-ES_tradnl"/>
        </w:rPr>
      </w:pPr>
      <w:r w:rsidRPr="00221835">
        <w:rPr>
          <w:rFonts w:cs="Arial"/>
          <w:bCs/>
          <w:lang w:val="es-ES_tradnl"/>
        </w:rPr>
        <w:t>Se remitieron a este Tribunal los estados financieros dentro del plazo establecido en el Artículo 32 de la Ordenanza Nº 81.</w:t>
      </w:r>
    </w:p>
    <w:p w:rsidR="008330DC" w:rsidRPr="00221835" w:rsidRDefault="008330DC" w:rsidP="008330DC">
      <w:pPr>
        <w:pStyle w:val="Bodyby"/>
        <w:keepNext/>
        <w:widowControl w:val="0"/>
        <w:numPr>
          <w:ilvl w:val="0"/>
          <w:numId w:val="11"/>
        </w:numPr>
        <w:spacing w:after="0" w:line="360" w:lineRule="auto"/>
        <w:ind w:hanging="436"/>
        <w:jc w:val="both"/>
        <w:rPr>
          <w:rFonts w:ascii="Arial" w:hAnsi="Arial" w:cs="Arial"/>
          <w:sz w:val="24"/>
          <w:szCs w:val="24"/>
        </w:rPr>
      </w:pPr>
      <w:r w:rsidRPr="00221835">
        <w:rPr>
          <w:rFonts w:ascii="Arial" w:hAnsi="Arial" w:cs="Arial"/>
          <w:sz w:val="24"/>
          <w:szCs w:val="24"/>
        </w:rPr>
        <w:t xml:space="preserve">Se proporcionó copia del convenio firmado </w:t>
      </w:r>
      <w:r>
        <w:rPr>
          <w:rFonts w:ascii="Arial" w:hAnsi="Arial" w:cs="Arial"/>
          <w:sz w:val="24"/>
          <w:szCs w:val="24"/>
        </w:rPr>
        <w:t>por</w:t>
      </w:r>
      <w:r w:rsidRPr="00221835">
        <w:rPr>
          <w:rFonts w:ascii="Arial" w:hAnsi="Arial" w:cs="Arial"/>
          <w:sz w:val="24"/>
          <w:szCs w:val="24"/>
        </w:rPr>
        <w:t xml:space="preserve"> el Ministerio de Transporte y PLUNA E.A. de</w:t>
      </w:r>
      <w:r>
        <w:rPr>
          <w:rFonts w:ascii="Arial" w:hAnsi="Arial" w:cs="Arial"/>
          <w:sz w:val="24"/>
          <w:szCs w:val="24"/>
        </w:rPr>
        <w:t xml:space="preserve"> fecha </w:t>
      </w:r>
      <w:r w:rsidRPr="00221835">
        <w:rPr>
          <w:rFonts w:ascii="Arial" w:hAnsi="Arial" w:cs="Arial"/>
          <w:sz w:val="24"/>
          <w:szCs w:val="24"/>
        </w:rPr>
        <w:t>25/09/07 p</w:t>
      </w:r>
      <w:r>
        <w:rPr>
          <w:rFonts w:ascii="Arial" w:hAnsi="Arial" w:cs="Arial"/>
          <w:sz w:val="24"/>
          <w:szCs w:val="24"/>
        </w:rPr>
        <w:t xml:space="preserve">ara </w:t>
      </w:r>
      <w:r w:rsidRPr="00221835">
        <w:rPr>
          <w:rFonts w:ascii="Arial" w:hAnsi="Arial" w:cs="Arial"/>
          <w:sz w:val="24"/>
          <w:szCs w:val="24"/>
        </w:rPr>
        <w:t xml:space="preserve">la reforma </w:t>
      </w:r>
      <w:r>
        <w:rPr>
          <w:rFonts w:ascii="Arial" w:hAnsi="Arial" w:cs="Arial"/>
          <w:sz w:val="24"/>
          <w:szCs w:val="24"/>
        </w:rPr>
        <w:t>del local propiedad del Banco de Seguros del Estado (BSE)</w:t>
      </w:r>
      <w:r w:rsidRPr="00221835">
        <w:rPr>
          <w:rFonts w:ascii="Arial" w:hAnsi="Arial" w:cs="Arial"/>
          <w:sz w:val="24"/>
          <w:szCs w:val="24"/>
        </w:rPr>
        <w:t xml:space="preserve">, el cual fue una donación realizada por el MTOP y por el </w:t>
      </w:r>
      <w:r>
        <w:rPr>
          <w:rFonts w:ascii="Arial" w:hAnsi="Arial" w:cs="Arial"/>
          <w:sz w:val="24"/>
          <w:szCs w:val="24"/>
        </w:rPr>
        <w:t xml:space="preserve">que </w:t>
      </w:r>
      <w:r w:rsidRPr="00221835">
        <w:rPr>
          <w:rFonts w:ascii="Arial" w:hAnsi="Arial" w:cs="Arial"/>
          <w:sz w:val="24"/>
          <w:szCs w:val="24"/>
        </w:rPr>
        <w:t>el BSE otorgó un p</w:t>
      </w:r>
      <w:r>
        <w:rPr>
          <w:rFonts w:ascii="Arial" w:hAnsi="Arial" w:cs="Arial"/>
          <w:sz w:val="24"/>
          <w:szCs w:val="24"/>
        </w:rPr>
        <w:t>eríodo</w:t>
      </w:r>
      <w:r w:rsidRPr="00221835">
        <w:rPr>
          <w:rFonts w:ascii="Arial" w:hAnsi="Arial" w:cs="Arial"/>
          <w:sz w:val="24"/>
          <w:szCs w:val="24"/>
        </w:rPr>
        <w:t xml:space="preserve"> de gracia en el pago de arrendamiento (dispuesto en el Contrato de arrendamiento de las </w:t>
      </w:r>
      <w:r>
        <w:rPr>
          <w:rFonts w:ascii="Arial" w:hAnsi="Arial" w:cs="Arial"/>
          <w:sz w:val="24"/>
          <w:szCs w:val="24"/>
        </w:rPr>
        <w:t>O</w:t>
      </w:r>
      <w:r w:rsidRPr="00221835">
        <w:rPr>
          <w:rFonts w:ascii="Arial" w:hAnsi="Arial" w:cs="Arial"/>
          <w:sz w:val="24"/>
          <w:szCs w:val="24"/>
        </w:rPr>
        <w:t xml:space="preserve">ficinas </w:t>
      </w:r>
      <w:r>
        <w:rPr>
          <w:rFonts w:ascii="Arial" w:hAnsi="Arial" w:cs="Arial"/>
          <w:sz w:val="24"/>
          <w:szCs w:val="24"/>
        </w:rPr>
        <w:t>C</w:t>
      </w:r>
      <w:r w:rsidRPr="00221835">
        <w:rPr>
          <w:rFonts w:ascii="Arial" w:hAnsi="Arial" w:cs="Arial"/>
          <w:sz w:val="24"/>
          <w:szCs w:val="24"/>
        </w:rPr>
        <w:t>entrales de PLUNA E.A. con el BSE de fecha 18/06/09).</w:t>
      </w:r>
    </w:p>
    <w:p w:rsidR="008330DC" w:rsidRPr="00221835" w:rsidRDefault="008330DC" w:rsidP="008330DC">
      <w:pPr>
        <w:pStyle w:val="Bodyby"/>
        <w:keepNext/>
        <w:widowControl w:val="0"/>
        <w:numPr>
          <w:ilvl w:val="0"/>
          <w:numId w:val="11"/>
        </w:numPr>
        <w:spacing w:after="0" w:line="360" w:lineRule="auto"/>
        <w:ind w:hanging="436"/>
        <w:jc w:val="both"/>
        <w:rPr>
          <w:rFonts w:ascii="Arial" w:hAnsi="Arial" w:cs="Arial"/>
          <w:sz w:val="24"/>
          <w:szCs w:val="24"/>
        </w:rPr>
      </w:pPr>
      <w:r w:rsidRPr="00221835">
        <w:rPr>
          <w:rFonts w:ascii="Arial" w:hAnsi="Arial" w:cs="Arial"/>
          <w:sz w:val="24"/>
          <w:szCs w:val="24"/>
        </w:rPr>
        <w:t>Se depuraron los deudores en gestión en base a su antigüedad y probabilidad de cobro.</w:t>
      </w:r>
    </w:p>
    <w:p w:rsidR="008330DC" w:rsidRPr="00221835" w:rsidRDefault="008330DC" w:rsidP="008330DC">
      <w:pPr>
        <w:pStyle w:val="Prrafodelista"/>
        <w:keepNext/>
        <w:widowControl w:val="0"/>
        <w:numPr>
          <w:ilvl w:val="0"/>
          <w:numId w:val="11"/>
        </w:numPr>
        <w:spacing w:line="360" w:lineRule="auto"/>
        <w:ind w:hanging="436"/>
        <w:jc w:val="both"/>
        <w:rPr>
          <w:rFonts w:cs="Arial"/>
          <w:b/>
          <w:bCs/>
          <w:lang w:val="es-ES_tradnl"/>
        </w:rPr>
      </w:pPr>
      <w:r w:rsidRPr="00221835">
        <w:rPr>
          <w:rFonts w:cs="Arial"/>
          <w:bCs/>
          <w:lang w:val="es-ES_tradnl"/>
        </w:rPr>
        <w:t xml:space="preserve">Se controló la integridad de las cuentas que forman los estados </w:t>
      </w:r>
      <w:r>
        <w:rPr>
          <w:rFonts w:cs="Arial"/>
          <w:bCs/>
          <w:lang w:val="es-ES_tradnl"/>
        </w:rPr>
        <w:t>financieros</w:t>
      </w:r>
      <w:r w:rsidRPr="00221835">
        <w:rPr>
          <w:rFonts w:cs="Arial"/>
          <w:bCs/>
          <w:lang w:val="es-ES_tradnl"/>
        </w:rPr>
        <w:t xml:space="preserve"> y su correcta exposición.</w:t>
      </w:r>
    </w:p>
    <w:p w:rsidR="008330DC" w:rsidRPr="00DA73BF" w:rsidRDefault="008330DC" w:rsidP="008330DC">
      <w:pPr>
        <w:pStyle w:val="Prrafodelista"/>
        <w:keepNext/>
        <w:widowControl w:val="0"/>
        <w:numPr>
          <w:ilvl w:val="0"/>
          <w:numId w:val="11"/>
        </w:numPr>
        <w:spacing w:line="360" w:lineRule="auto"/>
        <w:ind w:hanging="436"/>
        <w:jc w:val="both"/>
        <w:rPr>
          <w:b/>
          <w:bCs/>
          <w:lang w:val="es-ES_tradnl"/>
        </w:rPr>
      </w:pPr>
      <w:r w:rsidRPr="00221835">
        <w:rPr>
          <w:rFonts w:cs="Arial"/>
          <w:bCs/>
          <w:lang w:val="es-ES_tradnl"/>
        </w:rPr>
        <w:t xml:space="preserve">Se verificaron las afirmaciones contenidas en </w:t>
      </w:r>
      <w:r>
        <w:rPr>
          <w:rFonts w:cs="Arial"/>
          <w:bCs/>
          <w:lang w:val="es-ES_tradnl"/>
        </w:rPr>
        <w:t>las N</w:t>
      </w:r>
      <w:r w:rsidRPr="00221835">
        <w:rPr>
          <w:rFonts w:cs="Arial"/>
          <w:bCs/>
          <w:lang w:val="es-ES_tradnl"/>
        </w:rPr>
        <w:t>otas</w:t>
      </w:r>
      <w:r>
        <w:rPr>
          <w:bCs/>
          <w:lang w:val="es-ES_tradnl"/>
        </w:rPr>
        <w:t>.</w:t>
      </w:r>
    </w:p>
    <w:p w:rsidR="008330DC" w:rsidRPr="005040E4" w:rsidRDefault="008330DC" w:rsidP="008330DC">
      <w:pPr>
        <w:pStyle w:val="Prrafodelista"/>
        <w:keepNext/>
        <w:widowControl w:val="0"/>
        <w:spacing w:line="360" w:lineRule="auto"/>
        <w:jc w:val="both"/>
        <w:rPr>
          <w:b/>
          <w:bCs/>
          <w:lang w:val="es-ES_tradnl"/>
        </w:rPr>
      </w:pPr>
    </w:p>
    <w:p w:rsidR="008330DC" w:rsidRDefault="008330DC" w:rsidP="008330DC">
      <w:pPr>
        <w:keepNext/>
        <w:widowControl w:val="0"/>
        <w:spacing w:line="360" w:lineRule="auto"/>
        <w:jc w:val="both"/>
        <w:rPr>
          <w:b/>
        </w:rPr>
      </w:pPr>
      <w:r>
        <w:rPr>
          <w:b/>
          <w:bCs/>
          <w:lang w:val="es-ES_tradnl"/>
        </w:rPr>
        <w:t>4</w:t>
      </w:r>
      <w:r w:rsidRPr="00B06179">
        <w:rPr>
          <w:b/>
          <w:bCs/>
          <w:lang w:val="es-ES_tradnl"/>
        </w:rPr>
        <w:t>.1.2</w:t>
      </w:r>
      <w:r>
        <w:rPr>
          <w:bCs/>
          <w:lang w:val="es-ES_tradnl"/>
        </w:rPr>
        <w:t xml:space="preserve"> </w:t>
      </w:r>
      <w:r>
        <w:rPr>
          <w:b/>
        </w:rPr>
        <w:t xml:space="preserve">No </w:t>
      </w:r>
      <w:proofErr w:type="gramStart"/>
      <w:r>
        <w:rPr>
          <w:b/>
        </w:rPr>
        <w:t>cumplidas</w:t>
      </w:r>
      <w:proofErr w:type="gramEnd"/>
    </w:p>
    <w:p w:rsidR="008330DC" w:rsidRDefault="008330DC" w:rsidP="008330DC">
      <w:pPr>
        <w:keepNext/>
        <w:widowControl w:val="0"/>
        <w:tabs>
          <w:tab w:val="left" w:pos="709"/>
          <w:tab w:val="left" w:pos="851"/>
        </w:tabs>
        <w:spacing w:line="360" w:lineRule="auto"/>
        <w:jc w:val="both"/>
      </w:pPr>
      <w:r>
        <w:rPr>
          <w:b/>
        </w:rPr>
        <w:t xml:space="preserve">          </w:t>
      </w:r>
      <w:r>
        <w:t>PLUNA no dio cumplimiento a:</w:t>
      </w:r>
    </w:p>
    <w:p w:rsidR="008330DC" w:rsidRDefault="008330DC" w:rsidP="008330DC">
      <w:pPr>
        <w:keepNext/>
        <w:widowControl w:val="0"/>
        <w:numPr>
          <w:ilvl w:val="0"/>
          <w:numId w:val="3"/>
        </w:numPr>
        <w:tabs>
          <w:tab w:val="clear" w:pos="680"/>
          <w:tab w:val="num" w:pos="709"/>
        </w:tabs>
        <w:spacing w:line="360" w:lineRule="auto"/>
        <w:ind w:left="709" w:hanging="425"/>
        <w:jc w:val="both"/>
        <w:rPr>
          <w:bCs/>
        </w:rPr>
      </w:pPr>
      <w:r>
        <w:rPr>
          <w:rFonts w:cs="Arial"/>
          <w:spacing w:val="-1"/>
          <w:lang w:val="es-UY"/>
        </w:rPr>
        <w:t>Revisar en forma periódica el valor residual y la vida útil de los bienes que componen el Activo Fijo, como lo dispone la NIC 16.</w:t>
      </w:r>
    </w:p>
    <w:p w:rsidR="008330DC" w:rsidRPr="00DA73BF" w:rsidRDefault="008330DC" w:rsidP="008330DC">
      <w:pPr>
        <w:keepNext/>
        <w:widowControl w:val="0"/>
        <w:numPr>
          <w:ilvl w:val="0"/>
          <w:numId w:val="3"/>
        </w:numPr>
        <w:tabs>
          <w:tab w:val="clear" w:pos="680"/>
          <w:tab w:val="num" w:pos="709"/>
        </w:tabs>
        <w:spacing w:line="360" w:lineRule="auto"/>
        <w:ind w:hanging="340"/>
        <w:jc w:val="both"/>
        <w:rPr>
          <w:bCs/>
        </w:rPr>
      </w:pPr>
      <w:r>
        <w:rPr>
          <w:rFonts w:cs="Arial"/>
          <w:spacing w:val="-1"/>
          <w:lang w:val="es-UY"/>
        </w:rPr>
        <w:t xml:space="preserve"> Informar en notas los bienes de terceros recibidos en comodato</w:t>
      </w:r>
      <w:r>
        <w:t>.</w:t>
      </w:r>
    </w:p>
    <w:p w:rsidR="008330DC" w:rsidRPr="00DA73BF" w:rsidRDefault="008330DC" w:rsidP="008330DC">
      <w:pPr>
        <w:keepNext/>
        <w:widowControl w:val="0"/>
        <w:numPr>
          <w:ilvl w:val="0"/>
          <w:numId w:val="3"/>
        </w:numPr>
        <w:tabs>
          <w:tab w:val="clear" w:pos="680"/>
          <w:tab w:val="num" w:pos="709"/>
        </w:tabs>
        <w:spacing w:line="360" w:lineRule="auto"/>
        <w:ind w:hanging="340"/>
        <w:jc w:val="both"/>
        <w:rPr>
          <w:bCs/>
        </w:rPr>
      </w:pPr>
      <w:r>
        <w:rPr>
          <w:rFonts w:cs="Arial"/>
          <w:spacing w:val="-1"/>
        </w:rPr>
        <w:t xml:space="preserve"> </w:t>
      </w:r>
      <w:r w:rsidRPr="00DA73BF">
        <w:rPr>
          <w:rFonts w:cs="Arial"/>
          <w:spacing w:val="-1"/>
        </w:rPr>
        <w:t>Asignar la revisión de las conciliaciones bancarias a la Auditoría Interna</w:t>
      </w:r>
      <w:r>
        <w:rPr>
          <w:rFonts w:cs="Arial"/>
          <w:spacing w:val="-1"/>
        </w:rPr>
        <w:t>.</w:t>
      </w:r>
    </w:p>
    <w:p w:rsidR="008330DC" w:rsidRPr="00046C09" w:rsidRDefault="008330DC" w:rsidP="008330DC">
      <w:pPr>
        <w:keepNext/>
        <w:widowControl w:val="0"/>
        <w:numPr>
          <w:ilvl w:val="0"/>
          <w:numId w:val="3"/>
        </w:numPr>
        <w:tabs>
          <w:tab w:val="clear" w:pos="680"/>
          <w:tab w:val="num" w:pos="709"/>
        </w:tabs>
        <w:spacing w:line="360" w:lineRule="auto"/>
        <w:ind w:hanging="340"/>
        <w:jc w:val="both"/>
        <w:rPr>
          <w:bCs/>
        </w:rPr>
      </w:pPr>
      <w:r>
        <w:rPr>
          <w:lang w:val="es-UY"/>
        </w:rPr>
        <w:t xml:space="preserve"> Actualizar y controlar el plan de cuentas del Ente, teniendo en cuenta la claridad en la terminología utilizada y la homogeneidad en los agrupamientos realizados.</w:t>
      </w:r>
    </w:p>
    <w:p w:rsidR="008330DC" w:rsidRDefault="008330DC" w:rsidP="008330DC">
      <w:pPr>
        <w:keepNext/>
        <w:widowControl w:val="0"/>
        <w:spacing w:line="360" w:lineRule="auto"/>
        <w:ind w:left="624"/>
        <w:jc w:val="both"/>
        <w:rPr>
          <w:bCs/>
        </w:rPr>
      </w:pPr>
    </w:p>
    <w:p w:rsidR="008330DC" w:rsidRDefault="008330DC" w:rsidP="008330DC">
      <w:pPr>
        <w:keepNext/>
        <w:widowControl w:val="0"/>
        <w:numPr>
          <w:ilvl w:val="1"/>
          <w:numId w:val="6"/>
        </w:numPr>
        <w:tabs>
          <w:tab w:val="left" w:pos="426"/>
        </w:tabs>
        <w:spacing w:line="360" w:lineRule="auto"/>
        <w:jc w:val="both"/>
        <w:rPr>
          <w:b/>
        </w:rPr>
      </w:pPr>
      <w:r>
        <w:rPr>
          <w:b/>
        </w:rPr>
        <w:t xml:space="preserve"> Recomendaciones del presente Ejercicio</w:t>
      </w:r>
    </w:p>
    <w:p w:rsidR="008330DC" w:rsidRDefault="008330DC" w:rsidP="008330DC">
      <w:pPr>
        <w:pStyle w:val="Sangra3detindependiente"/>
        <w:keepNext/>
        <w:widowControl w:val="0"/>
        <w:spacing w:line="360" w:lineRule="auto"/>
        <w:ind w:left="240"/>
      </w:pPr>
      <w:r>
        <w:t>A las recomendaciones no cumplidas expuestas en el punto 4.1.2 se agregan las siguientes:</w:t>
      </w:r>
    </w:p>
    <w:p w:rsidR="008330DC" w:rsidRDefault="008330DC" w:rsidP="008330DC">
      <w:pPr>
        <w:pStyle w:val="Ttulo"/>
        <w:keepNext/>
        <w:widowControl w:val="0"/>
        <w:numPr>
          <w:ilvl w:val="0"/>
          <w:numId w:val="4"/>
        </w:numPr>
        <w:tabs>
          <w:tab w:val="left" w:pos="284"/>
        </w:tabs>
        <w:spacing w:line="360" w:lineRule="auto"/>
        <w:ind w:left="284" w:firstLine="0"/>
        <w:jc w:val="both"/>
        <w:rPr>
          <w:b w:val="0"/>
          <w:sz w:val="24"/>
          <w:szCs w:val="24"/>
          <w:lang w:val="es-UY"/>
        </w:rPr>
      </w:pPr>
      <w:r>
        <w:rPr>
          <w:b w:val="0"/>
          <w:sz w:val="24"/>
          <w:szCs w:val="24"/>
          <w:lang w:val="es-UY"/>
        </w:rPr>
        <w:t>Elaborar los manuales de procedimientos para cada una de las áreas que integran la estructura organizacional del Ente. (2.1)</w:t>
      </w:r>
    </w:p>
    <w:p w:rsidR="008330DC" w:rsidRDefault="008330DC" w:rsidP="008330DC">
      <w:pPr>
        <w:pStyle w:val="Ttulo"/>
        <w:keepNext/>
        <w:widowControl w:val="0"/>
        <w:numPr>
          <w:ilvl w:val="0"/>
          <w:numId w:val="4"/>
        </w:numPr>
        <w:tabs>
          <w:tab w:val="left" w:pos="284"/>
        </w:tabs>
        <w:spacing w:line="360" w:lineRule="auto"/>
        <w:ind w:left="284" w:firstLine="0"/>
        <w:jc w:val="both"/>
        <w:rPr>
          <w:b w:val="0"/>
          <w:sz w:val="24"/>
          <w:szCs w:val="24"/>
          <w:lang w:val="es-UY"/>
        </w:rPr>
      </w:pPr>
      <w:r>
        <w:rPr>
          <w:b w:val="0"/>
          <w:sz w:val="24"/>
          <w:szCs w:val="24"/>
          <w:lang w:val="es-UY"/>
        </w:rPr>
        <w:t>Cometer a la Auditoría Interna la realización periódica de arqueos sorpresivos de los fondos y valores en custodia de la Tesorería, dejando constancia escrita en las Actas correspondientes. (2.2)</w:t>
      </w:r>
    </w:p>
    <w:p w:rsidR="008330DC" w:rsidRPr="00E03EFA" w:rsidRDefault="008330DC" w:rsidP="008330DC">
      <w:pPr>
        <w:pStyle w:val="Ttulo"/>
        <w:keepNext/>
        <w:widowControl w:val="0"/>
        <w:numPr>
          <w:ilvl w:val="0"/>
          <w:numId w:val="4"/>
        </w:numPr>
        <w:tabs>
          <w:tab w:val="left" w:pos="284"/>
        </w:tabs>
        <w:autoSpaceDE w:val="0"/>
        <w:autoSpaceDN w:val="0"/>
        <w:adjustRightInd w:val="0"/>
        <w:spacing w:line="360" w:lineRule="auto"/>
        <w:ind w:left="284" w:firstLine="0"/>
        <w:jc w:val="both"/>
        <w:rPr>
          <w:rFonts w:cs="Arial"/>
          <w:b w:val="0"/>
          <w:sz w:val="24"/>
          <w:szCs w:val="24"/>
          <w:lang w:val="es-UY"/>
        </w:rPr>
      </w:pPr>
      <w:r w:rsidRPr="00E03EFA">
        <w:rPr>
          <w:rFonts w:eastAsiaTheme="minorHAnsi" w:cs="Arial"/>
          <w:b w:val="0"/>
          <w:sz w:val="24"/>
          <w:szCs w:val="24"/>
          <w:lang w:val="es-UY" w:eastAsia="en-US"/>
        </w:rPr>
        <w:t xml:space="preserve">Efectuar los depósitos </w:t>
      </w:r>
      <w:r>
        <w:rPr>
          <w:rFonts w:eastAsiaTheme="minorHAnsi" w:cs="Arial"/>
          <w:b w:val="0"/>
          <w:sz w:val="24"/>
          <w:szCs w:val="24"/>
          <w:lang w:val="es-UY" w:eastAsia="en-US"/>
        </w:rPr>
        <w:t xml:space="preserve">de las cobranzas </w:t>
      </w:r>
      <w:r w:rsidRPr="00E03EFA">
        <w:rPr>
          <w:rFonts w:eastAsiaTheme="minorHAnsi" w:cs="Arial"/>
          <w:b w:val="0"/>
          <w:sz w:val="24"/>
          <w:szCs w:val="24"/>
          <w:lang w:val="es-UY" w:eastAsia="en-US"/>
        </w:rPr>
        <w:t xml:space="preserve">por convenio </w:t>
      </w:r>
      <w:proofErr w:type="spellStart"/>
      <w:r w:rsidRPr="00E03EFA">
        <w:rPr>
          <w:rFonts w:eastAsiaTheme="minorHAnsi" w:cs="Arial"/>
          <w:b w:val="0"/>
          <w:sz w:val="24"/>
          <w:szCs w:val="24"/>
          <w:lang w:val="es-UY" w:eastAsia="en-US"/>
        </w:rPr>
        <w:t>Martinelli</w:t>
      </w:r>
      <w:proofErr w:type="spellEnd"/>
      <w:r>
        <w:rPr>
          <w:rFonts w:eastAsiaTheme="minorHAnsi" w:cs="Arial"/>
          <w:b w:val="0"/>
          <w:sz w:val="24"/>
          <w:szCs w:val="24"/>
          <w:lang w:val="es-UY" w:eastAsia="en-US"/>
        </w:rPr>
        <w:t>-PLUNA</w:t>
      </w:r>
      <w:r w:rsidRPr="00E03EFA">
        <w:rPr>
          <w:rFonts w:eastAsiaTheme="minorHAnsi" w:cs="Arial"/>
          <w:b w:val="0"/>
          <w:sz w:val="24"/>
          <w:szCs w:val="24"/>
          <w:lang w:val="es-UY" w:eastAsia="en-US"/>
        </w:rPr>
        <w:t xml:space="preserve">, los reintegros de viáticos y </w:t>
      </w:r>
      <w:r w:rsidRPr="00E03EFA">
        <w:rPr>
          <w:rFonts w:cs="Arial"/>
          <w:b w:val="0"/>
          <w:sz w:val="24"/>
          <w:szCs w:val="24"/>
          <w:lang w:val="es-UY"/>
        </w:rPr>
        <w:t>los remanentes devueltos por fondos sujetos a rendición</w:t>
      </w:r>
      <w:r>
        <w:rPr>
          <w:rFonts w:eastAsiaTheme="minorHAnsi" w:cs="Arial"/>
          <w:b w:val="0"/>
          <w:sz w:val="24"/>
          <w:szCs w:val="24"/>
          <w:lang w:val="es-UY" w:eastAsia="en-US"/>
        </w:rPr>
        <w:t>, en la cuenta bancaria del O</w:t>
      </w:r>
      <w:r w:rsidRPr="00E03EFA">
        <w:rPr>
          <w:rFonts w:eastAsiaTheme="minorHAnsi" w:cs="Arial"/>
          <w:b w:val="0"/>
          <w:sz w:val="24"/>
          <w:szCs w:val="24"/>
          <w:lang w:val="es-UY" w:eastAsia="en-US"/>
        </w:rPr>
        <w:t>rganismo</w:t>
      </w:r>
      <w:r>
        <w:rPr>
          <w:rFonts w:eastAsiaTheme="minorHAnsi" w:cs="Arial"/>
          <w:b w:val="0"/>
          <w:sz w:val="24"/>
          <w:szCs w:val="24"/>
          <w:lang w:val="es-UY" w:eastAsia="en-US"/>
        </w:rPr>
        <w:t xml:space="preserve"> y</w:t>
      </w:r>
      <w:r w:rsidRPr="00E03EFA">
        <w:rPr>
          <w:rFonts w:eastAsiaTheme="minorHAnsi" w:cs="Arial"/>
          <w:b w:val="0"/>
          <w:sz w:val="24"/>
          <w:szCs w:val="24"/>
          <w:lang w:val="es-UY" w:eastAsia="en-US"/>
        </w:rPr>
        <w:t xml:space="preserve"> en un plazo no mayor a un mes de recibidos.</w:t>
      </w:r>
      <w:r>
        <w:rPr>
          <w:rFonts w:eastAsiaTheme="minorHAnsi" w:cs="Arial"/>
          <w:b w:val="0"/>
          <w:sz w:val="24"/>
          <w:szCs w:val="24"/>
          <w:lang w:val="es-UY" w:eastAsia="en-US"/>
        </w:rPr>
        <w:t xml:space="preserve"> (2.3)</w:t>
      </w:r>
    </w:p>
    <w:p w:rsidR="008330DC" w:rsidRDefault="008330DC" w:rsidP="008330DC">
      <w:pPr>
        <w:pStyle w:val="Ttulo"/>
        <w:keepNext/>
        <w:widowControl w:val="0"/>
        <w:numPr>
          <w:ilvl w:val="0"/>
          <w:numId w:val="4"/>
        </w:numPr>
        <w:tabs>
          <w:tab w:val="left" w:pos="284"/>
        </w:tabs>
        <w:autoSpaceDE w:val="0"/>
        <w:autoSpaceDN w:val="0"/>
        <w:adjustRightInd w:val="0"/>
        <w:snapToGrid w:val="0"/>
        <w:spacing w:line="360" w:lineRule="auto"/>
        <w:ind w:left="284" w:right="98" w:firstLine="0"/>
        <w:jc w:val="both"/>
        <w:rPr>
          <w:rFonts w:eastAsia="Arial Unicode MS" w:cs="Arial"/>
          <w:b w:val="0"/>
          <w:bCs/>
          <w:sz w:val="24"/>
          <w:szCs w:val="24"/>
        </w:rPr>
      </w:pPr>
      <w:r>
        <w:rPr>
          <w:rFonts w:cs="Arial"/>
          <w:b w:val="0"/>
          <w:sz w:val="24"/>
          <w:szCs w:val="24"/>
          <w:lang w:val="es-UY"/>
        </w:rPr>
        <w:t xml:space="preserve">Reglamentar el manejo y la reposición del </w:t>
      </w:r>
      <w:r w:rsidRPr="00E03EFA">
        <w:rPr>
          <w:rFonts w:eastAsia="Arial Unicode MS" w:cs="Arial"/>
          <w:b w:val="0"/>
          <w:bCs/>
          <w:sz w:val="24"/>
          <w:szCs w:val="24"/>
        </w:rPr>
        <w:t>fondo fijo asignado a la Gerenci</w:t>
      </w:r>
      <w:r>
        <w:rPr>
          <w:rFonts w:eastAsia="Arial Unicode MS" w:cs="Arial"/>
          <w:b w:val="0"/>
          <w:bCs/>
          <w:sz w:val="24"/>
          <w:szCs w:val="24"/>
        </w:rPr>
        <w:t xml:space="preserve">a de Dirección y Administración, estableciendo el </w:t>
      </w:r>
      <w:r w:rsidRPr="00E03EFA">
        <w:rPr>
          <w:rFonts w:eastAsia="Arial Unicode MS" w:cs="Arial"/>
          <w:b w:val="0"/>
          <w:bCs/>
          <w:sz w:val="24"/>
          <w:szCs w:val="24"/>
        </w:rPr>
        <w:t xml:space="preserve">monto mínimo </w:t>
      </w:r>
      <w:r>
        <w:rPr>
          <w:rFonts w:eastAsia="Arial Unicode MS" w:cs="Arial"/>
          <w:b w:val="0"/>
          <w:bCs/>
          <w:sz w:val="24"/>
          <w:szCs w:val="24"/>
        </w:rPr>
        <w:t>con el cual puede operar. (2.4)</w:t>
      </w:r>
    </w:p>
    <w:p w:rsidR="008330DC" w:rsidRPr="00126291" w:rsidRDefault="008330DC" w:rsidP="008330DC">
      <w:pPr>
        <w:pStyle w:val="Ttulo"/>
        <w:keepNext/>
        <w:widowControl w:val="0"/>
        <w:numPr>
          <w:ilvl w:val="0"/>
          <w:numId w:val="4"/>
        </w:numPr>
        <w:tabs>
          <w:tab w:val="left" w:pos="284"/>
          <w:tab w:val="left" w:pos="709"/>
          <w:tab w:val="left" w:pos="851"/>
        </w:tabs>
        <w:autoSpaceDE w:val="0"/>
        <w:autoSpaceDN w:val="0"/>
        <w:adjustRightInd w:val="0"/>
        <w:snapToGrid w:val="0"/>
        <w:spacing w:line="360" w:lineRule="auto"/>
        <w:ind w:left="284" w:right="98" w:firstLine="0"/>
        <w:jc w:val="both"/>
        <w:rPr>
          <w:rFonts w:cs="Arial"/>
          <w:b w:val="0"/>
          <w:sz w:val="24"/>
          <w:szCs w:val="24"/>
        </w:rPr>
      </w:pPr>
      <w:r w:rsidRPr="00126291">
        <w:rPr>
          <w:rFonts w:eastAsia="Arial Unicode MS" w:cs="Arial"/>
          <w:b w:val="0"/>
          <w:bCs/>
          <w:sz w:val="24"/>
          <w:szCs w:val="24"/>
        </w:rPr>
        <w:t xml:space="preserve">Atender las recomendaciones efectuadas por la Auditoría Interna a efectos de </w:t>
      </w:r>
      <w:r>
        <w:rPr>
          <w:rFonts w:eastAsia="Arial Unicode MS" w:cs="Arial"/>
          <w:b w:val="0"/>
          <w:bCs/>
          <w:sz w:val="24"/>
          <w:szCs w:val="24"/>
        </w:rPr>
        <w:t>s</w:t>
      </w:r>
      <w:r w:rsidRPr="00126291">
        <w:rPr>
          <w:rFonts w:eastAsia="Arial Unicode MS" w:cs="Arial"/>
          <w:b w:val="0"/>
          <w:bCs/>
          <w:sz w:val="24"/>
          <w:szCs w:val="24"/>
        </w:rPr>
        <w:t xml:space="preserve">ubsanar las </w:t>
      </w:r>
      <w:r w:rsidRPr="00126291">
        <w:rPr>
          <w:rFonts w:cs="Arial"/>
          <w:b w:val="0"/>
          <w:sz w:val="24"/>
          <w:szCs w:val="24"/>
        </w:rPr>
        <w:t>deficiencias del control interno en el manejo de las partidas abonadas a los servicios técnicos contratados en el exterior. (2.5)</w:t>
      </w:r>
    </w:p>
    <w:p w:rsidR="008330DC" w:rsidRPr="00592124" w:rsidRDefault="008330DC" w:rsidP="008330DC">
      <w:pPr>
        <w:pStyle w:val="Ttulo"/>
        <w:keepNext/>
        <w:widowControl w:val="0"/>
        <w:numPr>
          <w:ilvl w:val="0"/>
          <w:numId w:val="4"/>
        </w:numPr>
        <w:tabs>
          <w:tab w:val="left" w:pos="284"/>
          <w:tab w:val="left" w:pos="709"/>
          <w:tab w:val="left" w:pos="851"/>
        </w:tabs>
        <w:autoSpaceDE w:val="0"/>
        <w:autoSpaceDN w:val="0"/>
        <w:adjustRightInd w:val="0"/>
        <w:snapToGrid w:val="0"/>
        <w:spacing w:line="360" w:lineRule="auto"/>
        <w:ind w:left="284" w:right="98" w:firstLine="0"/>
        <w:jc w:val="both"/>
        <w:rPr>
          <w:rFonts w:cs="Arial"/>
          <w:b w:val="0"/>
          <w:sz w:val="24"/>
          <w:szCs w:val="24"/>
        </w:rPr>
      </w:pPr>
      <w:r>
        <w:rPr>
          <w:rFonts w:cs="Arial"/>
          <w:b w:val="0"/>
          <w:sz w:val="24"/>
          <w:szCs w:val="24"/>
        </w:rPr>
        <w:t>Efectuar el cambio de imputación en la DGI de los pagos efectuados con el certificado de crédito 2013. (3.1)</w:t>
      </w:r>
    </w:p>
    <w:p w:rsidR="008330DC" w:rsidRDefault="008330DC" w:rsidP="008330DC">
      <w:pPr>
        <w:pStyle w:val="Sangradetextonormal"/>
        <w:keepNext/>
        <w:widowControl w:val="0"/>
        <w:tabs>
          <w:tab w:val="left" w:pos="4962"/>
        </w:tabs>
        <w:ind w:left="0"/>
        <w:jc w:val="right"/>
      </w:pPr>
      <w:r>
        <w:t>Montevideo, 22 de julio de 2015</w:t>
      </w:r>
    </w:p>
    <w:p w:rsidR="008330DC" w:rsidRDefault="008330DC" w:rsidP="008330DC">
      <w:pPr>
        <w:pStyle w:val="Sangradetextonormal"/>
        <w:keepNext/>
        <w:widowControl w:val="0"/>
        <w:tabs>
          <w:tab w:val="left" w:pos="4962"/>
        </w:tabs>
        <w:ind w:left="0"/>
      </w:pPr>
      <w:proofErr w:type="spellStart"/>
      <w:proofErr w:type="gramStart"/>
      <w:r>
        <w:t>ag</w:t>
      </w:r>
      <w:proofErr w:type="spellEnd"/>
      <w:proofErr w:type="gramEnd"/>
    </w:p>
    <w:sectPr w:rsidR="008330DC" w:rsidSect="007E4815">
      <w:headerReference w:type="default" r:id="rId8"/>
      <w:footerReference w:type="even" r:id="rId9"/>
      <w:footerReference w:type="default" r:id="rId10"/>
      <w:pgSz w:w="11906" w:h="16838" w:code="9"/>
      <w:pgMar w:top="3289" w:right="1701" w:bottom="1134" w:left="1701" w:header="0" w:footer="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E1C" w:rsidRDefault="00600E1C">
      <w:r>
        <w:separator/>
      </w:r>
    </w:p>
  </w:endnote>
  <w:endnote w:type="continuationSeparator" w:id="0">
    <w:p w:rsidR="00600E1C" w:rsidRDefault="00600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1C" w:rsidRDefault="00600E1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00E1C" w:rsidRDefault="00600E1C">
    <w:pPr>
      <w:pStyle w:val="Piedepgin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1C" w:rsidRDefault="00600E1C" w:rsidP="00500CC0">
    <w:pPr>
      <w:pStyle w:val="Piedepgina"/>
      <w:ind w:right="360" w:firstLine="360"/>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E1C" w:rsidRDefault="00600E1C">
      <w:r>
        <w:separator/>
      </w:r>
    </w:p>
  </w:footnote>
  <w:footnote w:type="continuationSeparator" w:id="0">
    <w:p w:rsidR="00600E1C" w:rsidRDefault="00600E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E1C" w:rsidRDefault="00600E1C" w:rsidP="00500CC0">
    <w:pPr>
      <w:pStyle w:val="Encabezado"/>
      <w:spacing w:line="360" w:lineRule="auto"/>
      <w:rPr>
        <w:sz w:val="22"/>
        <w:szCs w:val="22"/>
        <w:lang w:val="es-UY"/>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AD1EE68A"/>
    <w:name w:val="WW8Num6"/>
    <w:lvl w:ilvl="0">
      <w:start w:val="2"/>
      <w:numFmt w:val="decimal"/>
      <w:pStyle w:val="Continuarlista1"/>
      <w:lvlText w:val="%1"/>
      <w:lvlJc w:val="left"/>
      <w:pPr>
        <w:tabs>
          <w:tab w:val="num" w:pos="360"/>
        </w:tabs>
        <w:ind w:left="0" w:firstLine="0"/>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1080"/>
        </w:tabs>
        <w:ind w:left="0" w:firstLine="0"/>
      </w:pPr>
      <w:rPr>
        <w:rFonts w:hint="default"/>
      </w:rPr>
    </w:lvl>
    <w:lvl w:ilvl="4">
      <w:start w:val="1"/>
      <w:numFmt w:val="decimal"/>
      <w:lvlText w:val="%1.%2.%3.%4.%5"/>
      <w:lvlJc w:val="left"/>
      <w:pPr>
        <w:tabs>
          <w:tab w:val="num" w:pos="1080"/>
        </w:tabs>
        <w:ind w:left="0" w:firstLine="0"/>
      </w:pPr>
      <w:rPr>
        <w:rFonts w:hint="default"/>
      </w:rPr>
    </w:lvl>
    <w:lvl w:ilvl="5">
      <w:start w:val="1"/>
      <w:numFmt w:val="decimal"/>
      <w:lvlText w:val="%1.%2.%3.%4.%5.%6"/>
      <w:lvlJc w:val="left"/>
      <w:pPr>
        <w:tabs>
          <w:tab w:val="num" w:pos="1440"/>
        </w:tabs>
        <w:ind w:left="0" w:firstLine="0"/>
      </w:pPr>
      <w:rPr>
        <w:rFonts w:hint="default"/>
      </w:rPr>
    </w:lvl>
    <w:lvl w:ilvl="6">
      <w:start w:val="1"/>
      <w:numFmt w:val="decimal"/>
      <w:lvlText w:val="%1.%2.%3.%4.%5.%6.%7"/>
      <w:lvlJc w:val="left"/>
      <w:pPr>
        <w:tabs>
          <w:tab w:val="num" w:pos="1440"/>
        </w:tabs>
        <w:ind w:left="0" w:firstLine="0"/>
      </w:pPr>
      <w:rPr>
        <w:rFonts w:hint="default"/>
      </w:rPr>
    </w:lvl>
    <w:lvl w:ilvl="7">
      <w:start w:val="1"/>
      <w:numFmt w:val="decimal"/>
      <w:lvlText w:val="%1.%2.%3.%4.%5.%6.%7.%8"/>
      <w:lvlJc w:val="left"/>
      <w:pPr>
        <w:tabs>
          <w:tab w:val="num" w:pos="1800"/>
        </w:tabs>
        <w:ind w:left="0" w:firstLine="0"/>
      </w:pPr>
      <w:rPr>
        <w:rFonts w:hint="default"/>
      </w:rPr>
    </w:lvl>
    <w:lvl w:ilvl="8">
      <w:start w:val="1"/>
      <w:numFmt w:val="decimal"/>
      <w:lvlText w:val="%1.%2.%3.%4.%5.%6.%7.%8.%9"/>
      <w:lvlJc w:val="left"/>
      <w:pPr>
        <w:tabs>
          <w:tab w:val="num" w:pos="1800"/>
        </w:tabs>
        <w:ind w:left="0" w:firstLine="0"/>
      </w:pPr>
      <w:rPr>
        <w:rFonts w:hint="default"/>
      </w:rPr>
    </w:lvl>
  </w:abstractNum>
  <w:abstractNum w:abstractNumId="1">
    <w:nsid w:val="00E345B3"/>
    <w:multiLevelType w:val="multilevel"/>
    <w:tmpl w:val="57D061FA"/>
    <w:lvl w:ilvl="0">
      <w:start w:val="1"/>
      <w:numFmt w:val="decimal"/>
      <w:lvlText w:val="%1)"/>
      <w:lvlJc w:val="left"/>
      <w:pPr>
        <w:tabs>
          <w:tab w:val="num" w:pos="360"/>
        </w:tabs>
        <w:ind w:left="340" w:hanging="340"/>
      </w:pPr>
      <w:rPr>
        <w:rFonts w:ascii="Arial" w:hAnsi="Arial" w:hint="default"/>
        <w:b/>
        <w:i w:val="0"/>
        <w:sz w:val="24"/>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
    <w:nsid w:val="037B2397"/>
    <w:multiLevelType w:val="multilevel"/>
    <w:tmpl w:val="2E46889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
    <w:nsid w:val="0A5C288F"/>
    <w:multiLevelType w:val="hybridMultilevel"/>
    <w:tmpl w:val="A0A67CB4"/>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4">
    <w:nsid w:val="0F722B2F"/>
    <w:multiLevelType w:val="hybridMultilevel"/>
    <w:tmpl w:val="BC8CDDEE"/>
    <w:lvl w:ilvl="0" w:tplc="90463E56">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5">
    <w:nsid w:val="1E695EC7"/>
    <w:multiLevelType w:val="multilevel"/>
    <w:tmpl w:val="8468EFA8"/>
    <w:lvl w:ilvl="0">
      <w:start w:val="1"/>
      <w:numFmt w:val="bullet"/>
      <w:lvlText w:val=""/>
      <w:lvlJc w:val="left"/>
      <w:pPr>
        <w:tabs>
          <w:tab w:val="num" w:pos="680"/>
        </w:tabs>
        <w:ind w:left="624" w:hanging="624"/>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D932D86"/>
    <w:multiLevelType w:val="hybridMultilevel"/>
    <w:tmpl w:val="A75E6402"/>
    <w:lvl w:ilvl="0" w:tplc="0C0A0001">
      <w:start w:val="1"/>
      <w:numFmt w:val="bullet"/>
      <w:lvlText w:val=""/>
      <w:lvlJc w:val="left"/>
      <w:pPr>
        <w:tabs>
          <w:tab w:val="num" w:pos="855"/>
        </w:tabs>
        <w:ind w:left="855" w:hanging="360"/>
      </w:pPr>
      <w:rPr>
        <w:rFonts w:ascii="Symbol" w:hAnsi="Symbol" w:hint="default"/>
      </w:rPr>
    </w:lvl>
    <w:lvl w:ilvl="1" w:tplc="080E615A">
      <w:numFmt w:val="bullet"/>
      <w:lvlText w:val="-"/>
      <w:lvlJc w:val="left"/>
      <w:pPr>
        <w:tabs>
          <w:tab w:val="num" w:pos="1575"/>
        </w:tabs>
        <w:ind w:left="1575" w:hanging="360"/>
      </w:pPr>
      <w:rPr>
        <w:rFonts w:ascii="Times New Roman" w:eastAsia="Times New Roman" w:hAnsi="Times New Roman" w:cs="Times New Roman" w:hint="default"/>
      </w:rPr>
    </w:lvl>
    <w:lvl w:ilvl="2" w:tplc="0C0A0001">
      <w:start w:val="1"/>
      <w:numFmt w:val="bullet"/>
      <w:lvlText w:val=""/>
      <w:lvlJc w:val="left"/>
      <w:pPr>
        <w:tabs>
          <w:tab w:val="num" w:pos="2295"/>
        </w:tabs>
        <w:ind w:left="2295" w:hanging="360"/>
      </w:pPr>
      <w:rPr>
        <w:rFonts w:ascii="Symbol" w:hAnsi="Symbol" w:hint="default"/>
      </w:rPr>
    </w:lvl>
    <w:lvl w:ilvl="3" w:tplc="0C0A0001" w:tentative="1">
      <w:start w:val="1"/>
      <w:numFmt w:val="bullet"/>
      <w:lvlText w:val=""/>
      <w:lvlJc w:val="left"/>
      <w:pPr>
        <w:tabs>
          <w:tab w:val="num" w:pos="3015"/>
        </w:tabs>
        <w:ind w:left="3015" w:hanging="360"/>
      </w:pPr>
      <w:rPr>
        <w:rFonts w:ascii="Symbol" w:hAnsi="Symbol" w:hint="default"/>
      </w:rPr>
    </w:lvl>
    <w:lvl w:ilvl="4" w:tplc="0C0A0003" w:tentative="1">
      <w:start w:val="1"/>
      <w:numFmt w:val="bullet"/>
      <w:lvlText w:val="o"/>
      <w:lvlJc w:val="left"/>
      <w:pPr>
        <w:tabs>
          <w:tab w:val="num" w:pos="3735"/>
        </w:tabs>
        <w:ind w:left="3735" w:hanging="360"/>
      </w:pPr>
      <w:rPr>
        <w:rFonts w:ascii="Courier New" w:hAnsi="Courier New" w:cs="Courier New" w:hint="default"/>
      </w:rPr>
    </w:lvl>
    <w:lvl w:ilvl="5" w:tplc="0C0A0005" w:tentative="1">
      <w:start w:val="1"/>
      <w:numFmt w:val="bullet"/>
      <w:lvlText w:val=""/>
      <w:lvlJc w:val="left"/>
      <w:pPr>
        <w:tabs>
          <w:tab w:val="num" w:pos="4455"/>
        </w:tabs>
        <w:ind w:left="4455" w:hanging="360"/>
      </w:pPr>
      <w:rPr>
        <w:rFonts w:ascii="Wingdings" w:hAnsi="Wingdings" w:hint="default"/>
      </w:rPr>
    </w:lvl>
    <w:lvl w:ilvl="6" w:tplc="0C0A0001" w:tentative="1">
      <w:start w:val="1"/>
      <w:numFmt w:val="bullet"/>
      <w:lvlText w:val=""/>
      <w:lvlJc w:val="left"/>
      <w:pPr>
        <w:tabs>
          <w:tab w:val="num" w:pos="5175"/>
        </w:tabs>
        <w:ind w:left="5175" w:hanging="360"/>
      </w:pPr>
      <w:rPr>
        <w:rFonts w:ascii="Symbol" w:hAnsi="Symbol" w:hint="default"/>
      </w:rPr>
    </w:lvl>
    <w:lvl w:ilvl="7" w:tplc="0C0A0003" w:tentative="1">
      <w:start w:val="1"/>
      <w:numFmt w:val="bullet"/>
      <w:lvlText w:val="o"/>
      <w:lvlJc w:val="left"/>
      <w:pPr>
        <w:tabs>
          <w:tab w:val="num" w:pos="5895"/>
        </w:tabs>
        <w:ind w:left="5895" w:hanging="360"/>
      </w:pPr>
      <w:rPr>
        <w:rFonts w:ascii="Courier New" w:hAnsi="Courier New" w:cs="Courier New" w:hint="default"/>
      </w:rPr>
    </w:lvl>
    <w:lvl w:ilvl="8" w:tplc="0C0A0005" w:tentative="1">
      <w:start w:val="1"/>
      <w:numFmt w:val="bullet"/>
      <w:lvlText w:val=""/>
      <w:lvlJc w:val="left"/>
      <w:pPr>
        <w:tabs>
          <w:tab w:val="num" w:pos="6615"/>
        </w:tabs>
        <w:ind w:left="6615" w:hanging="360"/>
      </w:pPr>
      <w:rPr>
        <w:rFonts w:ascii="Wingdings" w:hAnsi="Wingdings" w:hint="default"/>
      </w:rPr>
    </w:lvl>
  </w:abstractNum>
  <w:abstractNum w:abstractNumId="7">
    <w:nsid w:val="3C3A3A18"/>
    <w:multiLevelType w:val="hybridMultilevel"/>
    <w:tmpl w:val="EA66D746"/>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abstractNum w:abstractNumId="8">
    <w:nsid w:val="48245595"/>
    <w:multiLevelType w:val="multilevel"/>
    <w:tmpl w:val="D4ECF7A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4A6C4A5B"/>
    <w:multiLevelType w:val="hybridMultilevel"/>
    <w:tmpl w:val="B0682E48"/>
    <w:lvl w:ilvl="0" w:tplc="94261922">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abstractNum w:abstractNumId="10">
    <w:nsid w:val="6F7E099B"/>
    <w:multiLevelType w:val="hybridMultilevel"/>
    <w:tmpl w:val="BE007DC2"/>
    <w:lvl w:ilvl="0" w:tplc="380A0001">
      <w:start w:val="1"/>
      <w:numFmt w:val="bullet"/>
      <w:lvlText w:val=""/>
      <w:lvlJc w:val="left"/>
      <w:pPr>
        <w:ind w:left="720" w:hanging="360"/>
      </w:pPr>
      <w:rPr>
        <w:rFonts w:ascii="Symbol" w:hAnsi="Symbol" w:hint="default"/>
      </w:rPr>
    </w:lvl>
    <w:lvl w:ilvl="1" w:tplc="380A0003" w:tentative="1">
      <w:start w:val="1"/>
      <w:numFmt w:val="bullet"/>
      <w:lvlText w:val="o"/>
      <w:lvlJc w:val="left"/>
      <w:pPr>
        <w:ind w:left="1440" w:hanging="360"/>
      </w:pPr>
      <w:rPr>
        <w:rFonts w:ascii="Courier New" w:hAnsi="Courier New" w:cs="Courier New" w:hint="default"/>
      </w:rPr>
    </w:lvl>
    <w:lvl w:ilvl="2" w:tplc="380A0005" w:tentative="1">
      <w:start w:val="1"/>
      <w:numFmt w:val="bullet"/>
      <w:lvlText w:val=""/>
      <w:lvlJc w:val="left"/>
      <w:pPr>
        <w:ind w:left="2160" w:hanging="360"/>
      </w:pPr>
      <w:rPr>
        <w:rFonts w:ascii="Wingdings" w:hAnsi="Wingdings" w:hint="default"/>
      </w:rPr>
    </w:lvl>
    <w:lvl w:ilvl="3" w:tplc="380A0001" w:tentative="1">
      <w:start w:val="1"/>
      <w:numFmt w:val="bullet"/>
      <w:lvlText w:val=""/>
      <w:lvlJc w:val="left"/>
      <w:pPr>
        <w:ind w:left="2880" w:hanging="360"/>
      </w:pPr>
      <w:rPr>
        <w:rFonts w:ascii="Symbol" w:hAnsi="Symbol" w:hint="default"/>
      </w:rPr>
    </w:lvl>
    <w:lvl w:ilvl="4" w:tplc="380A0003" w:tentative="1">
      <w:start w:val="1"/>
      <w:numFmt w:val="bullet"/>
      <w:lvlText w:val="o"/>
      <w:lvlJc w:val="left"/>
      <w:pPr>
        <w:ind w:left="3600" w:hanging="360"/>
      </w:pPr>
      <w:rPr>
        <w:rFonts w:ascii="Courier New" w:hAnsi="Courier New" w:cs="Courier New" w:hint="default"/>
      </w:rPr>
    </w:lvl>
    <w:lvl w:ilvl="5" w:tplc="380A0005" w:tentative="1">
      <w:start w:val="1"/>
      <w:numFmt w:val="bullet"/>
      <w:lvlText w:val=""/>
      <w:lvlJc w:val="left"/>
      <w:pPr>
        <w:ind w:left="4320" w:hanging="360"/>
      </w:pPr>
      <w:rPr>
        <w:rFonts w:ascii="Wingdings" w:hAnsi="Wingdings" w:hint="default"/>
      </w:rPr>
    </w:lvl>
    <w:lvl w:ilvl="6" w:tplc="380A0001" w:tentative="1">
      <w:start w:val="1"/>
      <w:numFmt w:val="bullet"/>
      <w:lvlText w:val=""/>
      <w:lvlJc w:val="left"/>
      <w:pPr>
        <w:ind w:left="5040" w:hanging="360"/>
      </w:pPr>
      <w:rPr>
        <w:rFonts w:ascii="Symbol" w:hAnsi="Symbol" w:hint="default"/>
      </w:rPr>
    </w:lvl>
    <w:lvl w:ilvl="7" w:tplc="380A0003" w:tentative="1">
      <w:start w:val="1"/>
      <w:numFmt w:val="bullet"/>
      <w:lvlText w:val="o"/>
      <w:lvlJc w:val="left"/>
      <w:pPr>
        <w:ind w:left="5760" w:hanging="360"/>
      </w:pPr>
      <w:rPr>
        <w:rFonts w:ascii="Courier New" w:hAnsi="Courier New" w:cs="Courier New" w:hint="default"/>
      </w:rPr>
    </w:lvl>
    <w:lvl w:ilvl="8" w:tplc="380A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3"/>
  </w:num>
  <w:num w:numId="5">
    <w:abstractNumId w:val="10"/>
  </w:num>
  <w:num w:numId="6">
    <w:abstractNumId w:val="8"/>
  </w:num>
  <w:num w:numId="7">
    <w:abstractNumId w:val="9"/>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1D8"/>
    <w:rsid w:val="00011039"/>
    <w:rsid w:val="00033075"/>
    <w:rsid w:val="00040A41"/>
    <w:rsid w:val="00042874"/>
    <w:rsid w:val="0004457E"/>
    <w:rsid w:val="00046C09"/>
    <w:rsid w:val="000771D8"/>
    <w:rsid w:val="000F0526"/>
    <w:rsid w:val="00126291"/>
    <w:rsid w:val="00143CB0"/>
    <w:rsid w:val="00160871"/>
    <w:rsid w:val="001B4406"/>
    <w:rsid w:val="00221835"/>
    <w:rsid w:val="00244540"/>
    <w:rsid w:val="002C28AC"/>
    <w:rsid w:val="0031709B"/>
    <w:rsid w:val="00344E60"/>
    <w:rsid w:val="00374C5A"/>
    <w:rsid w:val="00382954"/>
    <w:rsid w:val="00382B93"/>
    <w:rsid w:val="003837C3"/>
    <w:rsid w:val="003D4061"/>
    <w:rsid w:val="003F1415"/>
    <w:rsid w:val="003F61AE"/>
    <w:rsid w:val="00476587"/>
    <w:rsid w:val="004874E8"/>
    <w:rsid w:val="004D499A"/>
    <w:rsid w:val="00500CC0"/>
    <w:rsid w:val="005040E4"/>
    <w:rsid w:val="0051745C"/>
    <w:rsid w:val="00542301"/>
    <w:rsid w:val="005730F4"/>
    <w:rsid w:val="00592124"/>
    <w:rsid w:val="00600E1C"/>
    <w:rsid w:val="00602334"/>
    <w:rsid w:val="00635A63"/>
    <w:rsid w:val="006406AB"/>
    <w:rsid w:val="0064112C"/>
    <w:rsid w:val="006439D7"/>
    <w:rsid w:val="006503E5"/>
    <w:rsid w:val="00681CB3"/>
    <w:rsid w:val="006A14E6"/>
    <w:rsid w:val="006B3768"/>
    <w:rsid w:val="006F0549"/>
    <w:rsid w:val="007045E6"/>
    <w:rsid w:val="007166DD"/>
    <w:rsid w:val="00722613"/>
    <w:rsid w:val="00737A4E"/>
    <w:rsid w:val="00743EEB"/>
    <w:rsid w:val="00766F6D"/>
    <w:rsid w:val="007E4815"/>
    <w:rsid w:val="00827E88"/>
    <w:rsid w:val="008330DC"/>
    <w:rsid w:val="00893B20"/>
    <w:rsid w:val="008A562C"/>
    <w:rsid w:val="009049C9"/>
    <w:rsid w:val="009452A5"/>
    <w:rsid w:val="0095527A"/>
    <w:rsid w:val="009734DB"/>
    <w:rsid w:val="00974163"/>
    <w:rsid w:val="009C47B2"/>
    <w:rsid w:val="00A51AAC"/>
    <w:rsid w:val="00A70684"/>
    <w:rsid w:val="00AC2170"/>
    <w:rsid w:val="00AF63D1"/>
    <w:rsid w:val="00B52965"/>
    <w:rsid w:val="00BC2E2F"/>
    <w:rsid w:val="00C11891"/>
    <w:rsid w:val="00C93E6D"/>
    <w:rsid w:val="00C96531"/>
    <w:rsid w:val="00C97772"/>
    <w:rsid w:val="00CD5362"/>
    <w:rsid w:val="00CE360D"/>
    <w:rsid w:val="00DA73BF"/>
    <w:rsid w:val="00DC2514"/>
    <w:rsid w:val="00DD1C1C"/>
    <w:rsid w:val="00E03EFA"/>
    <w:rsid w:val="00E04F42"/>
    <w:rsid w:val="00E3002D"/>
    <w:rsid w:val="00E335C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D8"/>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500CC0"/>
    <w:pPr>
      <w:keepNext/>
      <w:spacing w:after="260" w:line="360" w:lineRule="auto"/>
      <w:jc w:val="both"/>
      <w:outlineLvl w:val="0"/>
    </w:pPr>
    <w:rPr>
      <w:b/>
    </w:rPr>
  </w:style>
  <w:style w:type="paragraph" w:styleId="Ttulo2">
    <w:name w:val="heading 2"/>
    <w:basedOn w:val="Normal"/>
    <w:next w:val="Normal"/>
    <w:link w:val="Ttulo2Car"/>
    <w:qFormat/>
    <w:rsid w:val="00500CC0"/>
    <w:pPr>
      <w:keepNext/>
      <w:spacing w:line="360" w:lineRule="auto"/>
      <w:jc w:val="center"/>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0771D8"/>
    <w:pPr>
      <w:tabs>
        <w:tab w:val="center" w:pos="4252"/>
        <w:tab w:val="right" w:pos="8504"/>
      </w:tabs>
    </w:pPr>
  </w:style>
  <w:style w:type="character" w:customStyle="1" w:styleId="EncabezadoCar">
    <w:name w:val="Encabezado Car"/>
    <w:basedOn w:val="Fuentedeprrafopredeter"/>
    <w:link w:val="Encabezado"/>
    <w:rsid w:val="000771D8"/>
    <w:rPr>
      <w:rFonts w:ascii="Arial" w:eastAsia="Times New Roman" w:hAnsi="Arial" w:cs="Times New Roman"/>
      <w:sz w:val="24"/>
      <w:szCs w:val="24"/>
      <w:lang w:val="es-ES" w:eastAsia="es-ES"/>
    </w:rPr>
  </w:style>
  <w:style w:type="paragraph" w:styleId="Piedepgina">
    <w:name w:val="footer"/>
    <w:basedOn w:val="Normal"/>
    <w:link w:val="PiedepginaCar"/>
    <w:semiHidden/>
    <w:rsid w:val="000771D8"/>
    <w:pPr>
      <w:tabs>
        <w:tab w:val="center" w:pos="4252"/>
        <w:tab w:val="right" w:pos="8504"/>
      </w:tabs>
    </w:pPr>
  </w:style>
  <w:style w:type="character" w:customStyle="1" w:styleId="PiedepginaCar">
    <w:name w:val="Pie de página Car"/>
    <w:basedOn w:val="Fuentedeprrafopredeter"/>
    <w:link w:val="Piedepgina"/>
    <w:semiHidden/>
    <w:rsid w:val="000771D8"/>
    <w:rPr>
      <w:rFonts w:ascii="Arial" w:eastAsia="Times New Roman" w:hAnsi="Arial" w:cs="Times New Roman"/>
      <w:sz w:val="24"/>
      <w:szCs w:val="24"/>
      <w:lang w:val="es-ES" w:eastAsia="es-ES"/>
    </w:rPr>
  </w:style>
  <w:style w:type="character" w:styleId="Nmerodepgina">
    <w:name w:val="page number"/>
    <w:basedOn w:val="Fuentedeprrafopredeter"/>
    <w:semiHidden/>
    <w:rsid w:val="000771D8"/>
  </w:style>
  <w:style w:type="character" w:customStyle="1" w:styleId="Ttulo1Car">
    <w:name w:val="Título 1 Car"/>
    <w:basedOn w:val="Fuentedeprrafopredeter"/>
    <w:link w:val="Ttulo1"/>
    <w:rsid w:val="00500CC0"/>
    <w:rPr>
      <w:rFonts w:ascii="Arial" w:eastAsia="Times New Roman" w:hAnsi="Arial" w:cs="Times New Roman"/>
      <w:b/>
      <w:sz w:val="24"/>
      <w:szCs w:val="24"/>
      <w:lang w:val="es-ES" w:eastAsia="es-ES"/>
    </w:rPr>
  </w:style>
  <w:style w:type="paragraph" w:styleId="Sangradetextonormal">
    <w:name w:val="Body Text Indent"/>
    <w:basedOn w:val="Normal"/>
    <w:link w:val="SangradetextonormalCar"/>
    <w:semiHidden/>
    <w:rsid w:val="00500CC0"/>
    <w:pPr>
      <w:ind w:left="360"/>
    </w:pPr>
    <w:rPr>
      <w:rFonts w:cs="Arial"/>
    </w:rPr>
  </w:style>
  <w:style w:type="character" w:customStyle="1" w:styleId="SangradetextonormalCar">
    <w:name w:val="Sangría de texto normal Car"/>
    <w:basedOn w:val="Fuentedeprrafopredeter"/>
    <w:link w:val="Sangradetextonormal"/>
    <w:semiHidden/>
    <w:rsid w:val="00500CC0"/>
    <w:rPr>
      <w:rFonts w:ascii="Arial" w:eastAsia="Times New Roman" w:hAnsi="Arial" w:cs="Arial"/>
      <w:sz w:val="24"/>
      <w:szCs w:val="24"/>
      <w:lang w:val="es-ES" w:eastAsia="es-ES"/>
    </w:rPr>
  </w:style>
  <w:style w:type="paragraph" w:styleId="Ttulo">
    <w:name w:val="Title"/>
    <w:basedOn w:val="Normal"/>
    <w:link w:val="TtuloCar"/>
    <w:qFormat/>
    <w:rsid w:val="00500CC0"/>
    <w:pPr>
      <w:jc w:val="center"/>
    </w:pPr>
    <w:rPr>
      <w:b/>
      <w:sz w:val="20"/>
      <w:szCs w:val="20"/>
      <w:lang w:val="es-ES_tradnl"/>
    </w:rPr>
  </w:style>
  <w:style w:type="character" w:customStyle="1" w:styleId="TtuloCar">
    <w:name w:val="Título Car"/>
    <w:basedOn w:val="Fuentedeprrafopredeter"/>
    <w:link w:val="Ttulo"/>
    <w:rsid w:val="00500CC0"/>
    <w:rPr>
      <w:rFonts w:ascii="Arial" w:eastAsia="Times New Roman" w:hAnsi="Arial" w:cs="Times New Roman"/>
      <w:b/>
      <w:sz w:val="20"/>
      <w:szCs w:val="20"/>
      <w:lang w:val="es-ES_tradnl" w:eastAsia="es-ES"/>
    </w:rPr>
  </w:style>
  <w:style w:type="paragraph" w:styleId="Textoindependiente3">
    <w:name w:val="Body Text 3"/>
    <w:basedOn w:val="Normal"/>
    <w:link w:val="Textoindependiente3Car"/>
    <w:semiHidden/>
    <w:rsid w:val="00500CC0"/>
    <w:pPr>
      <w:spacing w:after="120"/>
    </w:pPr>
    <w:rPr>
      <w:sz w:val="16"/>
      <w:szCs w:val="16"/>
    </w:rPr>
  </w:style>
  <w:style w:type="character" w:customStyle="1" w:styleId="Textoindependiente3Car">
    <w:name w:val="Texto independiente 3 Car"/>
    <w:basedOn w:val="Fuentedeprrafopredeter"/>
    <w:link w:val="Textoindependiente3"/>
    <w:semiHidden/>
    <w:rsid w:val="00500CC0"/>
    <w:rPr>
      <w:rFonts w:ascii="Arial" w:eastAsia="Times New Roman" w:hAnsi="Arial" w:cs="Times New Roman"/>
      <w:sz w:val="16"/>
      <w:szCs w:val="16"/>
      <w:lang w:val="es-ES" w:eastAsia="es-ES"/>
    </w:rPr>
  </w:style>
  <w:style w:type="character" w:customStyle="1" w:styleId="Ttulo2Car">
    <w:name w:val="Título 2 Car"/>
    <w:basedOn w:val="Fuentedeprrafopredeter"/>
    <w:link w:val="Ttulo2"/>
    <w:rsid w:val="00500CC0"/>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500CC0"/>
    <w:pPr>
      <w:spacing w:line="360" w:lineRule="auto"/>
      <w:jc w:val="both"/>
    </w:pPr>
    <w:rPr>
      <w:lang w:val="es-ES_tradnl"/>
    </w:rPr>
  </w:style>
  <w:style w:type="character" w:customStyle="1" w:styleId="Textoindependiente2Car">
    <w:name w:val="Texto independiente 2 Car"/>
    <w:basedOn w:val="Fuentedeprrafopredeter"/>
    <w:link w:val="Textoindependiente2"/>
    <w:semiHidden/>
    <w:rsid w:val="00500CC0"/>
    <w:rPr>
      <w:rFonts w:ascii="Arial" w:eastAsia="Times New Roman" w:hAnsi="Arial" w:cs="Times New Roman"/>
      <w:sz w:val="24"/>
      <w:szCs w:val="24"/>
      <w:lang w:val="es-ES_tradnl" w:eastAsia="es-ES"/>
    </w:rPr>
  </w:style>
  <w:style w:type="paragraph" w:styleId="Sangra2detindependiente">
    <w:name w:val="Body Text Indent 2"/>
    <w:basedOn w:val="Normal"/>
    <w:link w:val="Sangra2detindependienteCar"/>
    <w:semiHidden/>
    <w:rsid w:val="00500CC0"/>
    <w:pPr>
      <w:spacing w:line="360" w:lineRule="auto"/>
      <w:ind w:left="720"/>
      <w:jc w:val="both"/>
    </w:pPr>
    <w:rPr>
      <w:szCs w:val="20"/>
    </w:rPr>
  </w:style>
  <w:style w:type="character" w:customStyle="1" w:styleId="Sangra2detindependienteCar">
    <w:name w:val="Sangría 2 de t. independiente Car"/>
    <w:basedOn w:val="Fuentedeprrafopredeter"/>
    <w:link w:val="Sangra2detindependiente"/>
    <w:semiHidden/>
    <w:rsid w:val="00500CC0"/>
    <w:rPr>
      <w:rFonts w:ascii="Arial" w:eastAsia="Times New Roman" w:hAnsi="Arial" w:cs="Times New Roman"/>
      <w:sz w:val="24"/>
      <w:szCs w:val="20"/>
      <w:lang w:val="es-ES" w:eastAsia="es-ES"/>
    </w:rPr>
  </w:style>
  <w:style w:type="paragraph" w:styleId="Sangra3detindependiente">
    <w:name w:val="Body Text Indent 3"/>
    <w:basedOn w:val="Normal"/>
    <w:link w:val="Sangra3detindependienteCar"/>
    <w:semiHidden/>
    <w:rsid w:val="00500CC0"/>
    <w:pPr>
      <w:ind w:left="360"/>
      <w:jc w:val="both"/>
    </w:pPr>
    <w:rPr>
      <w:rFonts w:cs="Arial"/>
    </w:rPr>
  </w:style>
  <w:style w:type="character" w:customStyle="1" w:styleId="Sangra3detindependienteCar">
    <w:name w:val="Sangría 3 de t. independiente Car"/>
    <w:basedOn w:val="Fuentedeprrafopredeter"/>
    <w:link w:val="Sangra3detindependiente"/>
    <w:semiHidden/>
    <w:rsid w:val="00500CC0"/>
    <w:rPr>
      <w:rFonts w:ascii="Arial" w:eastAsia="Times New Roman" w:hAnsi="Arial" w:cs="Arial"/>
      <w:sz w:val="24"/>
      <w:szCs w:val="24"/>
      <w:lang w:val="es-ES" w:eastAsia="es-ES"/>
    </w:rPr>
  </w:style>
  <w:style w:type="paragraph" w:styleId="Textoindependiente">
    <w:name w:val="Body Text"/>
    <w:basedOn w:val="Normal"/>
    <w:link w:val="TextoindependienteCar"/>
    <w:semiHidden/>
    <w:rsid w:val="00500CC0"/>
    <w:rPr>
      <w:rFonts w:ascii="Bookman Old Style" w:hAnsi="Bookman Old Style"/>
      <w:szCs w:val="20"/>
      <w:lang w:val="es-ES_tradnl"/>
    </w:rPr>
  </w:style>
  <w:style w:type="character" w:customStyle="1" w:styleId="TextoindependienteCar">
    <w:name w:val="Texto independiente Car"/>
    <w:basedOn w:val="Fuentedeprrafopredeter"/>
    <w:link w:val="Textoindependiente"/>
    <w:semiHidden/>
    <w:rsid w:val="00500CC0"/>
    <w:rPr>
      <w:rFonts w:ascii="Bookman Old Style" w:eastAsia="Times New Roman" w:hAnsi="Bookman Old Style" w:cs="Times New Roman"/>
      <w:sz w:val="24"/>
      <w:szCs w:val="20"/>
      <w:lang w:val="es-ES_tradnl" w:eastAsia="es-ES"/>
    </w:rPr>
  </w:style>
  <w:style w:type="paragraph" w:styleId="Prrafodelista">
    <w:name w:val="List Paragraph"/>
    <w:basedOn w:val="Normal"/>
    <w:uiPriority w:val="34"/>
    <w:qFormat/>
    <w:rsid w:val="00500CC0"/>
    <w:pPr>
      <w:ind w:left="720"/>
      <w:contextualSpacing/>
    </w:pPr>
  </w:style>
  <w:style w:type="character" w:customStyle="1" w:styleId="apple-converted-space">
    <w:name w:val="apple-converted-space"/>
    <w:basedOn w:val="Fuentedeprrafopredeter"/>
    <w:rsid w:val="009049C9"/>
  </w:style>
  <w:style w:type="paragraph" w:customStyle="1" w:styleId="Continuarlista1">
    <w:name w:val="Continuar lista1"/>
    <w:basedOn w:val="Normal"/>
    <w:rsid w:val="009049C9"/>
    <w:pPr>
      <w:numPr>
        <w:numId w:val="9"/>
      </w:numPr>
      <w:suppressAutoHyphens/>
      <w:spacing w:after="120"/>
    </w:pPr>
    <w:rPr>
      <w:rFonts w:ascii="Times New Roman" w:hAnsi="Times New Roman"/>
      <w:lang w:eastAsia="ar-SA"/>
    </w:rPr>
  </w:style>
  <w:style w:type="paragraph" w:customStyle="1" w:styleId="Textoindependiente1">
    <w:name w:val="Texto independiente1"/>
    <w:basedOn w:val="Normal"/>
    <w:rsid w:val="009049C9"/>
    <w:pPr>
      <w:suppressAutoHyphens/>
      <w:spacing w:before="120" w:after="120"/>
      <w:jc w:val="both"/>
    </w:pPr>
    <w:rPr>
      <w:rFonts w:ascii="Helvetica" w:hAnsi="Helvetica"/>
      <w:sz w:val="20"/>
      <w:szCs w:val="20"/>
      <w:lang w:val="es-ES_tradnl" w:eastAsia="ar-SA"/>
    </w:rPr>
  </w:style>
  <w:style w:type="paragraph" w:customStyle="1" w:styleId="sangra3detindependiente3">
    <w:name w:val="sangra3detindependiente3"/>
    <w:basedOn w:val="Normal"/>
    <w:rsid w:val="009049C9"/>
    <w:pPr>
      <w:spacing w:line="360" w:lineRule="auto"/>
      <w:ind w:left="426"/>
      <w:jc w:val="both"/>
    </w:pPr>
    <w:rPr>
      <w:rFonts w:ascii="Bookman Old Style" w:hAnsi="Bookman Old Style"/>
    </w:rPr>
  </w:style>
  <w:style w:type="paragraph" w:customStyle="1" w:styleId="Bodyby">
    <w:name w:val="Body.by"/>
    <w:basedOn w:val="Normal"/>
    <w:rsid w:val="009049C9"/>
    <w:pPr>
      <w:spacing w:after="260" w:line="260" w:lineRule="exact"/>
    </w:pPr>
    <w:rPr>
      <w:rFonts w:ascii="Times" w:hAnsi="Times"/>
      <w:sz w:val="22"/>
      <w:szCs w:val="20"/>
      <w:lang w:eastAsia="es-UY"/>
    </w:rPr>
  </w:style>
  <w:style w:type="character" w:styleId="nfasis">
    <w:name w:val="Emphasis"/>
    <w:basedOn w:val="Fuentedeprrafopredeter"/>
    <w:uiPriority w:val="20"/>
    <w:qFormat/>
    <w:rsid w:val="009049C9"/>
    <w:rPr>
      <w:i/>
      <w:iCs/>
    </w:rPr>
  </w:style>
  <w:style w:type="paragraph" w:styleId="Textodeglobo">
    <w:name w:val="Balloon Text"/>
    <w:basedOn w:val="Normal"/>
    <w:link w:val="TextodegloboCar"/>
    <w:uiPriority w:val="99"/>
    <w:semiHidden/>
    <w:unhideWhenUsed/>
    <w:rsid w:val="00722613"/>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613"/>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35956">
      <w:bodyDiv w:val="1"/>
      <w:marLeft w:val="0"/>
      <w:marRight w:val="0"/>
      <w:marTop w:val="0"/>
      <w:marBottom w:val="0"/>
      <w:divBdr>
        <w:top w:val="none" w:sz="0" w:space="0" w:color="auto"/>
        <w:left w:val="none" w:sz="0" w:space="0" w:color="auto"/>
        <w:bottom w:val="none" w:sz="0" w:space="0" w:color="auto"/>
        <w:right w:val="none" w:sz="0" w:space="0" w:color="auto"/>
      </w:divBdr>
    </w:div>
    <w:div w:id="1373504808">
      <w:bodyDiv w:val="1"/>
      <w:marLeft w:val="0"/>
      <w:marRight w:val="0"/>
      <w:marTop w:val="0"/>
      <w:marBottom w:val="0"/>
      <w:divBdr>
        <w:top w:val="none" w:sz="0" w:space="0" w:color="auto"/>
        <w:left w:val="none" w:sz="0" w:space="0" w:color="auto"/>
        <w:bottom w:val="none" w:sz="0" w:space="0" w:color="auto"/>
        <w:right w:val="none" w:sz="0" w:space="0" w:color="auto"/>
      </w:divBdr>
    </w:div>
    <w:div w:id="1473207728">
      <w:bodyDiv w:val="1"/>
      <w:marLeft w:val="0"/>
      <w:marRight w:val="0"/>
      <w:marTop w:val="0"/>
      <w:marBottom w:val="0"/>
      <w:divBdr>
        <w:top w:val="none" w:sz="0" w:space="0" w:color="auto"/>
        <w:left w:val="none" w:sz="0" w:space="0" w:color="auto"/>
        <w:bottom w:val="none" w:sz="0" w:space="0" w:color="auto"/>
        <w:right w:val="none" w:sz="0" w:space="0" w:color="auto"/>
      </w:divBdr>
    </w:div>
    <w:div w:id="1592548022">
      <w:bodyDiv w:val="1"/>
      <w:marLeft w:val="0"/>
      <w:marRight w:val="0"/>
      <w:marTop w:val="0"/>
      <w:marBottom w:val="0"/>
      <w:divBdr>
        <w:top w:val="none" w:sz="0" w:space="0" w:color="auto"/>
        <w:left w:val="none" w:sz="0" w:space="0" w:color="auto"/>
        <w:bottom w:val="none" w:sz="0" w:space="0" w:color="auto"/>
        <w:right w:val="none" w:sz="0" w:space="0" w:color="auto"/>
      </w:divBdr>
    </w:div>
    <w:div w:id="1776516568">
      <w:bodyDiv w:val="1"/>
      <w:marLeft w:val="0"/>
      <w:marRight w:val="0"/>
      <w:marTop w:val="0"/>
      <w:marBottom w:val="0"/>
      <w:divBdr>
        <w:top w:val="none" w:sz="0" w:space="0" w:color="auto"/>
        <w:left w:val="none" w:sz="0" w:space="0" w:color="auto"/>
        <w:bottom w:val="none" w:sz="0" w:space="0" w:color="auto"/>
        <w:right w:val="none" w:sz="0" w:space="0" w:color="auto"/>
      </w:divBdr>
    </w:div>
    <w:div w:id="211821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7</Pages>
  <Words>1718</Words>
  <Characters>9449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Castro</dc:creator>
  <cp:lastModifiedBy> </cp:lastModifiedBy>
  <cp:revision>19</cp:revision>
  <cp:lastPrinted>2015-08-11T14:13:00Z</cp:lastPrinted>
  <dcterms:created xsi:type="dcterms:W3CDTF">2015-08-11T14:05:00Z</dcterms:created>
  <dcterms:modified xsi:type="dcterms:W3CDTF">2015-08-27T21:11:00Z</dcterms:modified>
</cp:coreProperties>
</file>