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E2" w:rsidRPr="006B61E2" w:rsidRDefault="006B61E2" w:rsidP="006B61E2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B61E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B61E2" w:rsidRPr="006B61E2" w:rsidRDefault="006B61E2" w:rsidP="006B61E2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B61E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B61E2" w:rsidRPr="006B61E2" w:rsidRDefault="006B61E2" w:rsidP="006B61E2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B61E2">
        <w:rPr>
          <w:rFonts w:ascii="Arial" w:hAnsi="Arial" w:cs="Arial"/>
          <w:b/>
          <w:sz w:val="24"/>
          <w:szCs w:val="24"/>
          <w:lang w:val="es-ES_tradnl"/>
        </w:rPr>
        <w:t>EN SESION DE FECHA 15 DE JULIO DE 2015</w:t>
      </w:r>
    </w:p>
    <w:p w:rsidR="006B61E2" w:rsidRPr="006B61E2" w:rsidRDefault="006B61E2" w:rsidP="006B61E2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B61E2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2015-17-1-0003978</w:t>
      </w:r>
      <w:r w:rsidRPr="006B61E2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6B61E2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6B61E2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3229/15)</w:t>
      </w:r>
    </w:p>
    <w:p w:rsidR="007F39A8" w:rsidRDefault="006B61E2" w:rsidP="006B61E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7F39A8">
        <w:rPr>
          <w:rFonts w:ascii="Arial" w:hAnsi="Arial" w:cs="Arial"/>
          <w:b/>
          <w:bCs/>
          <w:sz w:val="24"/>
          <w:szCs w:val="24"/>
        </w:rPr>
        <w:t>VISTO:</w:t>
      </w:r>
      <w:r w:rsidR="007F39A8">
        <w:rPr>
          <w:rFonts w:ascii="Arial" w:hAnsi="Arial" w:cs="Arial"/>
          <w:sz w:val="24"/>
          <w:szCs w:val="24"/>
        </w:rPr>
        <w:t xml:space="preserve"> las actuaciones remitidas por la Administración de las Obras Sanitarias del Estado (OSE), relacionadas con la ampliación </w:t>
      </w:r>
      <w:r w:rsidR="007F39A8">
        <w:rPr>
          <w:rFonts w:ascii="Arial" w:hAnsi="Arial" w:cs="Arial"/>
          <w:sz w:val="24"/>
          <w:szCs w:val="24"/>
          <w:lang w:val="es-MX"/>
        </w:rPr>
        <w:t>de</w:t>
      </w:r>
      <w:r w:rsidR="007F39A8">
        <w:rPr>
          <w:sz w:val="24"/>
          <w:szCs w:val="24"/>
          <w:lang w:val="es-MX"/>
        </w:rPr>
        <w:t xml:space="preserve"> </w:t>
      </w:r>
      <w:r w:rsidR="007F39A8">
        <w:rPr>
          <w:rFonts w:ascii="Arial" w:hAnsi="Arial" w:cs="Arial"/>
          <w:sz w:val="24"/>
          <w:szCs w:val="24"/>
          <w:lang w:val="es-MX"/>
        </w:rPr>
        <w:t>la Licitación Pública P10770 para el arrendamiento  de vehículos sin chofer y mantenimiento de los mismos;</w:t>
      </w:r>
    </w:p>
    <w:p w:rsidR="007F39A8" w:rsidRDefault="006B61E2" w:rsidP="006B61E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7F39A8">
        <w:rPr>
          <w:rFonts w:ascii="Arial" w:hAnsi="Arial" w:cs="Arial"/>
          <w:b/>
          <w:bCs/>
          <w:sz w:val="24"/>
          <w:szCs w:val="24"/>
        </w:rPr>
        <w:t>RESULTANDO: 1)</w:t>
      </w:r>
      <w:r w:rsidR="007F39A8">
        <w:rPr>
          <w:rFonts w:ascii="Arial" w:hAnsi="Arial" w:cs="Arial"/>
          <w:sz w:val="24"/>
          <w:szCs w:val="24"/>
        </w:rPr>
        <w:t xml:space="preserve"> que por Resolución N° 48/11 de fecha 26/1/2011, el Directorio dispuso adjudicar a </w:t>
      </w:r>
      <w:proofErr w:type="spellStart"/>
      <w:r w:rsidR="007F39A8">
        <w:rPr>
          <w:rFonts w:ascii="Arial" w:hAnsi="Arial" w:cs="Arial"/>
          <w:sz w:val="24"/>
          <w:szCs w:val="24"/>
          <w:lang w:val="es-MX"/>
        </w:rPr>
        <w:t>Celmu</w:t>
      </w:r>
      <w:proofErr w:type="spellEnd"/>
      <w:r w:rsidR="007F39A8">
        <w:rPr>
          <w:rFonts w:ascii="Arial" w:hAnsi="Arial" w:cs="Arial"/>
          <w:sz w:val="24"/>
          <w:szCs w:val="24"/>
          <w:lang w:val="es-MX"/>
        </w:rPr>
        <w:t xml:space="preserve"> S.A., por U$S 6:743.154,72 (incluido IVA y ajuste paramétrico);</w:t>
      </w:r>
    </w:p>
    <w:p w:rsidR="007F39A8" w:rsidRDefault="007F39A8" w:rsidP="006B61E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 en Sesión de fecha 30 de marzo de 2011, observó el gasto por habérselo comprometido sin contar con disponibilidad suficiente el rubro de </w:t>
      </w:r>
      <w:proofErr w:type="gramStart"/>
      <w:r>
        <w:rPr>
          <w:rFonts w:ascii="Arial" w:hAnsi="Arial" w:cs="Arial"/>
          <w:sz w:val="24"/>
          <w:szCs w:val="24"/>
        </w:rPr>
        <w:t>imputación ,</w:t>
      </w:r>
      <w:proofErr w:type="gramEnd"/>
      <w:r>
        <w:rPr>
          <w:rFonts w:ascii="Arial" w:hAnsi="Arial" w:cs="Arial"/>
          <w:sz w:val="24"/>
          <w:szCs w:val="24"/>
        </w:rPr>
        <w:t xml:space="preserve"> en contravención a lo dispuesto por el </w:t>
      </w:r>
      <w:r w:rsidR="006B61E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15 del TOCAF. Reiterado el gasto por Resolución R/D N° 436/11 de fecha 14/04/11,  se mantuvo  la observación, por Resolución de fecha 03 de noviembre de 2011;</w:t>
      </w:r>
    </w:p>
    <w:p w:rsidR="007F39A8" w:rsidRDefault="007F39A8" w:rsidP="006B61E2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Resolución N° 287/15 de fecha 25/03/15, el Directorio dispuso ampliar por el plazo de seis meses la licitación de referencia,  de acuerdo a los recaudos que han regido la referida licitación y la oferta aceptada, según el siguiente detalle: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1 Camionetas Cabina Simple Nafta 2015- - - - -U$S 118.800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2 Camionetas Doble Cabina Nafta 2015- - - - -  U$S 318.800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3 Camionetas Doble Cabina Diesel 2015- - - - -U$S 28.980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4 Autos Sedan 4 puertas  Nafta 2015- - - -- -  -  U$S 135.000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Ajuste Paramétrico       10% - - - - - - - - - - - - --        U$S 60.078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I.V.A. - - - - - - - - - - - -22% - - - - - - - - - - - - - -         U$S 145.388,76</w:t>
      </w:r>
    </w:p>
    <w:p w:rsidR="006B61E2" w:rsidRDefault="007F39A8" w:rsidP="006B61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---------------------------------------------------        U$S 806.246,76</w:t>
      </w:r>
    </w:p>
    <w:p w:rsidR="006B61E2" w:rsidRDefault="007F39A8" w:rsidP="006B61E2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por nota de fecha 30/03/2015, la empresa adjudicataria expreso que en el punto 2.1 del Pliego de Condiciones Particulares se estableció que el contrato tendrá una duración inicial de 4 años, pudiendo ser prorrogado en forma total o parcial por parte de OSE, por dos períodos sucesivos de un año cada uno, razón por la cual, no puede aceptarse una prórroga por 6 meses;</w:t>
      </w:r>
    </w:p>
    <w:p w:rsidR="007F39A8" w:rsidRDefault="007F39A8" w:rsidP="00D14EB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la Asesoría Letrada con fecha 21/05/2015 expreso que no se advierte ilegitimidad en la resolución relacionada en cuanto encuadra en el marco de los poderes y prerrogativas especiales de la Administración, por lo  que el Directorio tiene la facultad de introducir unilateralmente modificaciones al objeto contractual, pero en consideración a la negativa de la empresa de prestar el servicio por un lapso menor a un año, se deberá  evaluar la conveniencia para la Administración, para acceder a la prórroga de un año;  </w:t>
      </w:r>
    </w:p>
    <w:p w:rsidR="007F39A8" w:rsidRDefault="007F39A8" w:rsidP="00D14EB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por Resolución N° 582/15 de fecha 03/06/15, el Directorio dispuso dejar sin efecto la Resolución No. 287/15 de fecha 25/03/2015 y ampliar por el plazo de un año la licitación de referencia, de acuerdo a los recaudos que han regido la referida licitación y la oferta aceptada, según el siguiente detalle: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1 Camionetas Cabina Simple Nafta 2015- - - - -U$S 237.600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2 Camionetas Doble Cabina Nafta 2015- - - - -  U$S 636.000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3 Camionetas Doble Cabina Diesel 2015- - - - -U$S 57.960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 4 Autos Sedan 4 puertas  Nafta 2015- - - -- -  -  U$S 270.000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Ajuste Paramétrico       10% - - - - - - - - - - - - --        U$S 120.156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I.V.A. - - - - - - - - - - - -22% - - - - - - - - - - - - - -         U$S 290.777.52</w:t>
      </w:r>
    </w:p>
    <w:p w:rsidR="007F39A8" w:rsidRDefault="007F3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---------------------------------------------------        U$S 1:612.493,52</w:t>
      </w:r>
    </w:p>
    <w:p w:rsidR="007F39A8" w:rsidRDefault="007F39A8" w:rsidP="00D14EB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no consta información contable;</w:t>
      </w:r>
    </w:p>
    <w:p w:rsidR="00D14EBA" w:rsidRDefault="007F39A8" w:rsidP="00D14EB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 w:rsidR="00535645">
        <w:rPr>
          <w:rFonts w:ascii="Arial" w:hAnsi="Arial" w:cs="Arial"/>
          <w:sz w:val="24"/>
          <w:szCs w:val="24"/>
        </w:rPr>
        <w:t xml:space="preserve"> que la  pró</w:t>
      </w:r>
      <w:r>
        <w:rPr>
          <w:rFonts w:ascii="Arial" w:hAnsi="Arial" w:cs="Arial"/>
          <w:sz w:val="24"/>
          <w:szCs w:val="24"/>
        </w:rPr>
        <w:t>rroga finalmente dispuesta por un año</w:t>
      </w:r>
      <w:r w:rsidR="00535645">
        <w:rPr>
          <w:rFonts w:ascii="Arial" w:hAnsi="Arial" w:cs="Arial"/>
          <w:sz w:val="24"/>
          <w:szCs w:val="24"/>
        </w:rPr>
        <w:t xml:space="preserve"> (R</w:t>
      </w:r>
      <w:r>
        <w:rPr>
          <w:rFonts w:ascii="Arial" w:hAnsi="Arial" w:cs="Arial"/>
          <w:sz w:val="24"/>
          <w:szCs w:val="24"/>
        </w:rPr>
        <w:t>esultando 6)</w:t>
      </w:r>
      <w:r w:rsidR="0053564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 ajusta a lo establecido por  el  punto 2.1 del Pliego de Condiciones que regul</w:t>
      </w:r>
      <w:r w:rsidR="00535645">
        <w:rPr>
          <w:rFonts w:ascii="Arial" w:hAnsi="Arial" w:cs="Arial"/>
          <w:sz w:val="24"/>
          <w:szCs w:val="24"/>
        </w:rPr>
        <w:t>ó</w:t>
      </w:r>
      <w:r w:rsidR="00D14EBA">
        <w:rPr>
          <w:rFonts w:ascii="Arial" w:hAnsi="Arial" w:cs="Arial"/>
          <w:sz w:val="24"/>
          <w:szCs w:val="24"/>
        </w:rPr>
        <w:t xml:space="preserve"> el procedimiento licitatorio;</w:t>
      </w:r>
    </w:p>
    <w:p w:rsidR="007F39A8" w:rsidRDefault="007F39A8" w:rsidP="00D14EB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 respecto a lo expresado por la Asesoría</w:t>
      </w:r>
      <w:r w:rsidR="00535645">
        <w:rPr>
          <w:rFonts w:ascii="Arial" w:hAnsi="Arial" w:cs="Arial"/>
          <w:sz w:val="24"/>
          <w:szCs w:val="24"/>
        </w:rPr>
        <w:t xml:space="preserve"> Letrada con fecha 21/05/2015 (R</w:t>
      </w:r>
      <w:r>
        <w:rPr>
          <w:rFonts w:ascii="Arial" w:hAnsi="Arial" w:cs="Arial"/>
          <w:sz w:val="24"/>
          <w:szCs w:val="24"/>
        </w:rPr>
        <w:t>esultando 5),</w:t>
      </w:r>
      <w:r w:rsidR="005356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señala que el poder de la modificación unilateral del contrato, </w:t>
      </w:r>
      <w:r w:rsidR="00461203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sujeto a </w:t>
      </w:r>
      <w:r w:rsidR="00461203">
        <w:rPr>
          <w:rFonts w:ascii="Arial" w:hAnsi="Arial" w:cs="Arial"/>
          <w:sz w:val="24"/>
          <w:szCs w:val="24"/>
        </w:rPr>
        <w:t>límites</w:t>
      </w:r>
      <w:r>
        <w:rPr>
          <w:rFonts w:ascii="Arial" w:hAnsi="Arial" w:cs="Arial"/>
          <w:sz w:val="24"/>
          <w:szCs w:val="24"/>
        </w:rPr>
        <w:t>, como son los que derivan del principio de legalidad, de la imposibilidad de  alterar la esencia del objeto del contrato,</w:t>
      </w:r>
      <w:r w:rsidR="00535645">
        <w:rPr>
          <w:rFonts w:ascii="Arial" w:hAnsi="Arial" w:cs="Arial"/>
          <w:sz w:val="24"/>
          <w:szCs w:val="24"/>
        </w:rPr>
        <w:t xml:space="preserve"> por lo que,</w:t>
      </w:r>
      <w:r>
        <w:rPr>
          <w:rFonts w:ascii="Arial" w:hAnsi="Arial" w:cs="Arial"/>
          <w:sz w:val="24"/>
          <w:szCs w:val="24"/>
        </w:rPr>
        <w:t xml:space="preserve"> </w:t>
      </w:r>
      <w:r w:rsidR="00461203">
        <w:rPr>
          <w:rFonts w:ascii="Arial" w:hAnsi="Arial" w:cs="Arial"/>
          <w:sz w:val="24"/>
          <w:szCs w:val="24"/>
        </w:rPr>
        <w:t xml:space="preserve">no estando dicha posibilidad prevista en el contrato </w:t>
      </w:r>
      <w:r>
        <w:rPr>
          <w:rFonts w:ascii="Arial" w:hAnsi="Arial" w:cs="Arial"/>
          <w:sz w:val="24"/>
          <w:szCs w:val="24"/>
        </w:rPr>
        <w:t>y no e</w:t>
      </w:r>
      <w:r w:rsidR="00461203">
        <w:rPr>
          <w:rFonts w:ascii="Arial" w:hAnsi="Arial" w:cs="Arial"/>
          <w:sz w:val="24"/>
          <w:szCs w:val="24"/>
        </w:rPr>
        <w:t>xistiendo hechos supervinientes</w:t>
      </w:r>
      <w:r>
        <w:rPr>
          <w:rFonts w:ascii="Arial" w:hAnsi="Arial" w:cs="Arial"/>
          <w:sz w:val="24"/>
          <w:szCs w:val="24"/>
        </w:rPr>
        <w:t>, la Administración está tan ligada contractualmente como el particular;</w:t>
      </w:r>
    </w:p>
    <w:p w:rsidR="007F39A8" w:rsidRDefault="00D14EBA" w:rsidP="00D14E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7F39A8">
        <w:rPr>
          <w:rFonts w:ascii="Arial" w:hAnsi="Arial" w:cs="Arial"/>
          <w:b/>
          <w:bCs/>
          <w:sz w:val="24"/>
          <w:szCs w:val="24"/>
        </w:rPr>
        <w:t>ATENTO:</w:t>
      </w:r>
      <w:r w:rsidR="007F39A8"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>
        <w:rPr>
          <w:rFonts w:ascii="Arial" w:hAnsi="Arial" w:cs="Arial"/>
          <w:sz w:val="24"/>
          <w:szCs w:val="24"/>
        </w:rPr>
        <w:t>A</w:t>
      </w:r>
      <w:r w:rsidR="007F39A8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</w:t>
      </w:r>
      <w:r w:rsidR="007F39A8">
        <w:rPr>
          <w:rFonts w:ascii="Arial" w:hAnsi="Arial" w:cs="Arial"/>
          <w:sz w:val="24"/>
          <w:szCs w:val="24"/>
        </w:rPr>
        <w:t xml:space="preserve"> 211 </w:t>
      </w:r>
      <w:r>
        <w:rPr>
          <w:rFonts w:ascii="Arial" w:hAnsi="Arial" w:cs="Arial"/>
          <w:sz w:val="24"/>
          <w:szCs w:val="24"/>
        </w:rPr>
        <w:t>L</w:t>
      </w:r>
      <w:r w:rsidR="007F39A8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>eral</w:t>
      </w:r>
      <w:r w:rsidR="007F39A8">
        <w:rPr>
          <w:rFonts w:ascii="Arial" w:hAnsi="Arial" w:cs="Arial"/>
          <w:sz w:val="24"/>
          <w:szCs w:val="24"/>
        </w:rPr>
        <w:t xml:space="preserve"> B) de la Constitución de la Republica; </w:t>
      </w:r>
    </w:p>
    <w:p w:rsidR="007F39A8" w:rsidRDefault="007F39A8" w:rsidP="00D14EB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7F39A8" w:rsidRDefault="00D14EBA" w:rsidP="00D14EBA">
      <w:pPr>
        <w:pStyle w:val="Prrafodelista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14EBA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7F39A8">
        <w:rPr>
          <w:rFonts w:ascii="Arial" w:hAnsi="Arial" w:cs="Arial"/>
          <w:sz w:val="24"/>
          <w:szCs w:val="24"/>
        </w:rPr>
        <w:t xml:space="preserve">Cometer a la Contadora Delegada la intervención del gasto, una vez imputado el mismo al grupo adecuado con disponibilidad suficiente; </w:t>
      </w:r>
    </w:p>
    <w:p w:rsidR="007F39A8" w:rsidRDefault="00D14EBA" w:rsidP="00D14EBA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14EB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 </w:t>
      </w:r>
      <w:r w:rsidR="007F39A8">
        <w:rPr>
          <w:rFonts w:ascii="Arial" w:hAnsi="Arial" w:cs="Arial"/>
          <w:sz w:val="24"/>
          <w:szCs w:val="24"/>
        </w:rPr>
        <w:t>Téngase presente en el futuro lo expresado en el  Considerando 2</w:t>
      </w:r>
      <w:r w:rsidR="00EC2617">
        <w:rPr>
          <w:rFonts w:ascii="Arial" w:hAnsi="Arial" w:cs="Arial"/>
          <w:sz w:val="24"/>
          <w:szCs w:val="24"/>
        </w:rPr>
        <w:t>)</w:t>
      </w:r>
      <w:r w:rsidR="007F39A8">
        <w:rPr>
          <w:rFonts w:ascii="Arial" w:hAnsi="Arial" w:cs="Arial"/>
          <w:sz w:val="24"/>
          <w:szCs w:val="24"/>
        </w:rPr>
        <w:t xml:space="preserve">; </w:t>
      </w:r>
    </w:p>
    <w:p w:rsidR="007F39A8" w:rsidRDefault="007F39A8" w:rsidP="00D14E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EB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Comunicar a la Contadora Delegada; y</w:t>
      </w:r>
    </w:p>
    <w:p w:rsidR="007F39A8" w:rsidRDefault="007F39A8" w:rsidP="00D14E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EB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EC2617" w:rsidRDefault="00EC26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2617" w:rsidRDefault="00EC26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9A8" w:rsidRDefault="00D14E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7F39A8" w:rsidSect="006B61E2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5B44"/>
    <w:multiLevelType w:val="hybridMultilevel"/>
    <w:tmpl w:val="66AE7842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A8"/>
    <w:rsid w:val="00461203"/>
    <w:rsid w:val="00535645"/>
    <w:rsid w:val="006B61E2"/>
    <w:rsid w:val="007F39A8"/>
    <w:rsid w:val="00D14EBA"/>
    <w:rsid w:val="00EC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3737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2015-17-1-0003978</vt:lpstr>
    </vt:vector>
  </TitlesOfParts>
  <Company>Tribunal de Cuentas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2015-17-1-0003978</dc:title>
  <dc:creator>Irene Bucero</dc:creator>
  <cp:lastModifiedBy>Miriam Cristina Rivero</cp:lastModifiedBy>
  <cp:revision>2</cp:revision>
  <cp:lastPrinted>2015-07-21T14:05:00Z</cp:lastPrinted>
  <dcterms:created xsi:type="dcterms:W3CDTF">2015-07-21T14:05:00Z</dcterms:created>
  <dcterms:modified xsi:type="dcterms:W3CDTF">2015-07-21T14:05:00Z</dcterms:modified>
</cp:coreProperties>
</file>