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C8" w:rsidRPr="004870C8" w:rsidRDefault="004870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870C8">
        <w:rPr>
          <w:rFonts w:cs="Arial"/>
          <w:b/>
          <w:lang w:val="es-ES_tradnl"/>
        </w:rPr>
        <w:t>RESOLUCION ADOPTADA POR EL</w:t>
      </w:r>
    </w:p>
    <w:p w:rsidR="004870C8" w:rsidRPr="004870C8" w:rsidRDefault="004870C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870C8" w:rsidRPr="004870C8" w:rsidRDefault="004870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870C8">
        <w:rPr>
          <w:rFonts w:cs="Arial"/>
          <w:b/>
          <w:lang w:val="es-ES_tradnl"/>
        </w:rPr>
        <w:t>TRIBUNAL DE CUENTAS</w:t>
      </w:r>
    </w:p>
    <w:p w:rsidR="004870C8" w:rsidRPr="004870C8" w:rsidRDefault="004870C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870C8" w:rsidRPr="004870C8" w:rsidRDefault="004870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870C8">
        <w:rPr>
          <w:rFonts w:cs="Arial"/>
          <w:b/>
          <w:lang w:val="es-ES_tradnl"/>
        </w:rPr>
        <w:t>EN SESION DE FECHA 3 DE JUNIO DE 2015</w:t>
      </w:r>
    </w:p>
    <w:p w:rsidR="004870C8" w:rsidRPr="004870C8" w:rsidRDefault="004870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870C8" w:rsidRPr="004870C8" w:rsidRDefault="004870C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4870C8">
        <w:rPr>
          <w:rFonts w:cs="Arial"/>
          <w:b/>
          <w:lang w:val="en-US"/>
        </w:rPr>
        <w:t xml:space="preserve">(E. E. Nº 2014-17-1-0008489, </w:t>
      </w:r>
      <w:proofErr w:type="spellStart"/>
      <w:proofErr w:type="gramStart"/>
      <w:r w:rsidRPr="004870C8">
        <w:rPr>
          <w:rFonts w:cs="Arial"/>
          <w:b/>
          <w:lang w:val="en-US"/>
        </w:rPr>
        <w:t>Ent</w:t>
      </w:r>
      <w:proofErr w:type="spellEnd"/>
      <w:proofErr w:type="gramEnd"/>
      <w:r w:rsidRPr="004870C8">
        <w:rPr>
          <w:rFonts w:cs="Arial"/>
          <w:b/>
          <w:lang w:val="en-US"/>
        </w:rPr>
        <w:t>. N° 2685/15)</w:t>
      </w:r>
    </w:p>
    <w:p w:rsidR="004870C8" w:rsidRDefault="004870C8" w:rsidP="0084744E">
      <w:pPr>
        <w:pStyle w:val="Textoindependiente"/>
        <w:rPr>
          <w:rFonts w:ascii="Arial" w:hAnsi="Arial"/>
          <w:b/>
          <w:bCs/>
        </w:rPr>
      </w:pPr>
    </w:p>
    <w:p w:rsidR="0084744E" w:rsidRDefault="0084744E" w:rsidP="004870C8">
      <w:pPr>
        <w:pStyle w:val="Textoindependiente"/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VISTO:</w:t>
      </w:r>
      <w:r>
        <w:rPr>
          <w:rFonts w:ascii="Arial" w:hAnsi="Arial"/>
        </w:rPr>
        <w:t xml:space="preserve"> los antecedentes remitidos por el Ministerio de Desarrollo Social (MIDES) relacionado con la transferencia a realizar en el marco del Convenio suscrito con la Corporación Nacional para el Desarrollo (CND);  </w:t>
      </w:r>
    </w:p>
    <w:p w:rsidR="0084744E" w:rsidRDefault="0084744E" w:rsidP="004870C8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RESULTANDO:</w:t>
      </w:r>
      <w:r>
        <w:t xml:space="preserve"> </w:t>
      </w:r>
      <w:r>
        <w:rPr>
          <w:rFonts w:cs="Arial"/>
          <w:b/>
        </w:rPr>
        <w:t xml:space="preserve">1) </w:t>
      </w:r>
      <w:r>
        <w:rPr>
          <w:rFonts w:cs="Arial"/>
        </w:rPr>
        <w:t>que</w:t>
      </w:r>
      <w:r w:rsidR="002D71CE">
        <w:rPr>
          <w:rFonts w:cs="Arial"/>
        </w:rPr>
        <w:t>,</w:t>
      </w:r>
      <w:r>
        <w:rPr>
          <w:rFonts w:cs="Arial"/>
        </w:rPr>
        <w:t xml:space="preserve"> con fecha 8 de diciembre de 2010, el Estado Uruguayo celebró el contrato de préstamo Nº 2414 OC-UR, con el Banco Interamericano de Desarrollo, para la implementación del Programa de Apoyo  a la Estrategia Nacional de Infancia y Adolescencia por parte del Ministerio de Desarrollo Social a través de la Dirección del Programa de Infancia, Adolescencia y Familia, con el objeto de contribuir a mejorar, en forma sostenible, las condiciones de vida de niños, niñas, adolescentes y sus familias, especialmente de aquellos que viven en condiciones de vulnerabilidad social;</w:t>
      </w:r>
    </w:p>
    <w:p w:rsidR="0084744E" w:rsidRDefault="0084744E" w:rsidP="004870C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2)</w:t>
      </w:r>
      <w:r>
        <w:rPr>
          <w:rFonts w:cs="Arial"/>
        </w:rPr>
        <w:t xml:space="preserve"> que el monto total del Programa para el período 2010-2015, ascendía a la suma de U$S 44.500.000 (U$S 40.000.000 financiamiento BID y U$S 4.500.000 aporte </w:t>
      </w:r>
      <w:r w:rsidR="00857AF8">
        <w:rPr>
          <w:rFonts w:cs="Arial"/>
        </w:rPr>
        <w:t>local), estableciéndose que el Organismo e</w:t>
      </w:r>
      <w:r>
        <w:rPr>
          <w:rFonts w:cs="Arial"/>
        </w:rPr>
        <w:t>jecutor será el Ministerio de Desarrollo Social;</w:t>
      </w:r>
    </w:p>
    <w:p w:rsidR="0084744E" w:rsidRDefault="0084744E" w:rsidP="00857AF8">
      <w:pPr>
        <w:spacing w:line="360" w:lineRule="auto"/>
        <w:ind w:firstLine="2694"/>
        <w:jc w:val="both"/>
        <w:rPr>
          <w:rFonts w:cs="Arial"/>
        </w:rPr>
      </w:pPr>
      <w:r w:rsidRPr="0084744E">
        <w:rPr>
          <w:rFonts w:cs="Arial"/>
          <w:b/>
        </w:rPr>
        <w:t>3)</w:t>
      </w:r>
      <w:r>
        <w:rPr>
          <w:rFonts w:cs="Arial"/>
        </w:rPr>
        <w:t xml:space="preserve"> que</w:t>
      </w:r>
      <w:r w:rsidR="002D71CE">
        <w:rPr>
          <w:rFonts w:cs="Arial"/>
        </w:rPr>
        <w:t>,</w:t>
      </w:r>
      <w:r w:rsidR="00857AF8">
        <w:rPr>
          <w:rFonts w:cs="Arial"/>
        </w:rPr>
        <w:t xml:space="preserve"> en S</w:t>
      </w:r>
      <w:r>
        <w:rPr>
          <w:rFonts w:cs="Arial"/>
        </w:rPr>
        <w:t xml:space="preserve">esión de fecha 15 de diciembre de 2010, este Tribunal observó el Proyecto de Convenio a suscribirse por el Ministerio de Desarrollo Social y la Corporación Nacional para el Desarrollo, considerando que: </w:t>
      </w:r>
      <w:r w:rsidRPr="00857AF8">
        <w:rPr>
          <w:rFonts w:cs="Arial"/>
          <w:b/>
        </w:rPr>
        <w:t>a)</w:t>
      </w:r>
      <w:r>
        <w:rPr>
          <w:rFonts w:cs="Arial"/>
        </w:rPr>
        <w:t xml:space="preserve"> en virtud de </w:t>
      </w:r>
      <w:r w:rsidR="00857AF8">
        <w:rPr>
          <w:rFonts w:cs="Arial"/>
        </w:rPr>
        <w:t>lo dispuesto por el Artículo 9 Literal B</w:t>
      </w:r>
      <w:r>
        <w:rPr>
          <w:rFonts w:cs="Arial"/>
        </w:rPr>
        <w:t>) de la Ley Nº 17.866 de 21/03/05, al Ministerio de Desarrollo Social compete “</w:t>
      </w:r>
      <w:r w:rsidRPr="00857AF8">
        <w:rPr>
          <w:rFonts w:cs="Arial"/>
          <w:i/>
        </w:rPr>
        <w:t>formular, ejecutar, supervisar, coordinar, programar, dar seguimiento y evaluar las políticas, estrategias y planes en las áreas de juventud, mujer y familia, adultos mayores, discapacitados y desarrollo social en genera</w:t>
      </w:r>
      <w:r>
        <w:rPr>
          <w:rFonts w:cs="Arial"/>
        </w:rPr>
        <w:t xml:space="preserve">l”; </w:t>
      </w:r>
      <w:r w:rsidRPr="00857AF8">
        <w:rPr>
          <w:rFonts w:cs="Arial"/>
          <w:b/>
        </w:rPr>
        <w:t>b)</w:t>
      </w:r>
      <w:r>
        <w:rPr>
          <w:rFonts w:cs="Arial"/>
        </w:rPr>
        <w:t xml:space="preserve"> que por lo tanto se está </w:t>
      </w:r>
      <w:r>
        <w:rPr>
          <w:rFonts w:cs="Arial"/>
        </w:rPr>
        <w:lastRenderedPageBreak/>
        <w:t>encargando a la CND la p</w:t>
      </w:r>
      <w:r w:rsidR="00857AF8">
        <w:rPr>
          <w:rFonts w:cs="Arial"/>
        </w:rPr>
        <w:t>restación de servicios que, deben</w:t>
      </w:r>
      <w:r>
        <w:rPr>
          <w:rFonts w:cs="Arial"/>
        </w:rPr>
        <w:t xml:space="preserve"> ser ejecutados por el Organismo en razón de sus cometidos; </w:t>
      </w:r>
      <w:r w:rsidRPr="00857AF8">
        <w:rPr>
          <w:rFonts w:cs="Arial"/>
          <w:b/>
        </w:rPr>
        <w:t>c)</w:t>
      </w:r>
      <w:r>
        <w:rPr>
          <w:rFonts w:cs="Arial"/>
        </w:rPr>
        <w:t xml:space="preserve"> que, asimismo, en el Artículo 3 del contrato de préstamo las partes conviene</w:t>
      </w:r>
      <w:r w:rsidR="00857AF8">
        <w:rPr>
          <w:rFonts w:cs="Arial"/>
        </w:rPr>
        <w:t>n en</w:t>
      </w:r>
      <w:r>
        <w:rPr>
          <w:rFonts w:cs="Arial"/>
        </w:rPr>
        <w:t xml:space="preserve"> que la ejecución del Programa y la utilización de los recursos del financiamiento del Banco serán llevadas a cabo en su totalidad</w:t>
      </w:r>
      <w:r w:rsidR="00857AF8">
        <w:rPr>
          <w:rFonts w:cs="Arial"/>
        </w:rPr>
        <w:t xml:space="preserve"> por el MIDES en su calidad de O</w:t>
      </w:r>
      <w:r>
        <w:rPr>
          <w:rFonts w:cs="Arial"/>
        </w:rPr>
        <w:t>rga</w:t>
      </w:r>
      <w:r w:rsidR="00857AF8">
        <w:rPr>
          <w:rFonts w:cs="Arial"/>
        </w:rPr>
        <w:t>nismo ejecutor y, asimismo, el Literal C) de la C</w:t>
      </w:r>
      <w:r>
        <w:rPr>
          <w:rFonts w:cs="Arial"/>
        </w:rPr>
        <w:t xml:space="preserve">láusula 5.01, referida a la ejecución del Programa, establece que el prestatario (la República Oriental del Uruguay) por intermedio del Organismo ejecutor, se compromete a llevar a cabo la contratación de obras y la adquisición </w:t>
      </w:r>
      <w:r w:rsidR="005C17B2">
        <w:rPr>
          <w:rFonts w:cs="Arial"/>
        </w:rPr>
        <w:t xml:space="preserve">de bienes y servicios conexos; </w:t>
      </w:r>
      <w:r w:rsidR="005C17B2" w:rsidRPr="005C17B2">
        <w:rPr>
          <w:rFonts w:cs="Arial"/>
          <w:b/>
        </w:rPr>
        <w:t>d</w:t>
      </w:r>
      <w:r w:rsidRPr="005C17B2">
        <w:rPr>
          <w:rFonts w:cs="Arial"/>
          <w:b/>
        </w:rPr>
        <w:t>)</w:t>
      </w:r>
      <w:r>
        <w:rPr>
          <w:rFonts w:cs="Arial"/>
        </w:rPr>
        <w:t xml:space="preserve"> que en tanto el programa a ejecutarse se realizará en el marco del Préstamo Internacional Nº </w:t>
      </w:r>
      <w:r w:rsidR="005C17B2">
        <w:rPr>
          <w:rFonts w:cs="Arial"/>
        </w:rPr>
        <w:t>2414 OC/UR, la A</w:t>
      </w:r>
      <w:r>
        <w:rPr>
          <w:rFonts w:cs="Arial"/>
        </w:rPr>
        <w:t>dministración debe ajustarse a las normas previstas en el mismo, en virtud de lo dispuesto</w:t>
      </w:r>
      <w:r w:rsidR="005C17B2">
        <w:rPr>
          <w:rFonts w:cs="Arial"/>
        </w:rPr>
        <w:t xml:space="preserve"> por el Artículo 42 del TOCAF; </w:t>
      </w:r>
      <w:r w:rsidR="005C17B2" w:rsidRPr="005C17B2">
        <w:rPr>
          <w:rFonts w:cs="Arial"/>
          <w:b/>
        </w:rPr>
        <w:t>e</w:t>
      </w:r>
      <w:r w:rsidRPr="005C17B2">
        <w:rPr>
          <w:rFonts w:cs="Arial"/>
          <w:b/>
        </w:rPr>
        <w:t>)</w:t>
      </w:r>
      <w:r>
        <w:rPr>
          <w:rFonts w:cs="Arial"/>
        </w:rPr>
        <w:t xml:space="preserve"> que por su parte, la ANDE es también una persona jurídica de derecho público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no estatal, cuyos cometidos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definidos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en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el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Artículo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4 </w:t>
      </w:r>
      <w:r w:rsidR="005C17B2">
        <w:rPr>
          <w:rFonts w:cs="Arial"/>
        </w:rPr>
        <w:t xml:space="preserve"> </w:t>
      </w:r>
      <w:r>
        <w:rPr>
          <w:rFonts w:cs="Arial"/>
        </w:rPr>
        <w:t>de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 la </w:t>
      </w:r>
      <w:r w:rsidR="005C17B2">
        <w:rPr>
          <w:rFonts w:cs="Arial"/>
        </w:rPr>
        <w:t xml:space="preserve"> </w:t>
      </w:r>
      <w:r>
        <w:rPr>
          <w:rFonts w:cs="Arial"/>
        </w:rPr>
        <w:t xml:space="preserve">Ley </w:t>
      </w:r>
      <w:r w:rsidR="005C17B2">
        <w:rPr>
          <w:rFonts w:cs="Arial"/>
        </w:rPr>
        <w:t xml:space="preserve"> </w:t>
      </w:r>
      <w:r>
        <w:rPr>
          <w:rFonts w:cs="Arial"/>
        </w:rPr>
        <w:t>Nº 18.602 concretan su finalidad específica que es “</w:t>
      </w:r>
      <w:r w:rsidRPr="005C17B2">
        <w:rPr>
          <w:rFonts w:cs="Arial"/>
          <w:i/>
        </w:rPr>
        <w:t>contribuir al desarrollo económico productivo, en forma sustentable…</w:t>
      </w:r>
      <w:r>
        <w:rPr>
          <w:rFonts w:cs="Arial"/>
        </w:rPr>
        <w:t>” por lo que las obligaciones emergentes del convenio no pueden transferírsele, ya que el objeto del mismo no encuadra</w:t>
      </w:r>
      <w:r w:rsidR="002D71CE">
        <w:rPr>
          <w:rFonts w:cs="Arial"/>
        </w:rPr>
        <w:t>ba</w:t>
      </w:r>
      <w:r>
        <w:rPr>
          <w:rFonts w:cs="Arial"/>
        </w:rPr>
        <w:t xml:space="preserve"> en las potestades legalmente atribuidas;</w:t>
      </w:r>
    </w:p>
    <w:p w:rsidR="0084744E" w:rsidRDefault="0084744E" w:rsidP="005C17B2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4)</w:t>
      </w:r>
      <w:r w:rsidR="005C17B2">
        <w:rPr>
          <w:rFonts w:cs="Arial"/>
        </w:rPr>
        <w:t xml:space="preserve"> que asimismo, en S</w:t>
      </w:r>
      <w:r>
        <w:rPr>
          <w:rFonts w:cs="Arial"/>
        </w:rPr>
        <w:t xml:space="preserve">esión de fecha 29 de febrero de 2012, este Tribunal, observó la </w:t>
      </w:r>
      <w:proofErr w:type="spellStart"/>
      <w:r>
        <w:rPr>
          <w:rFonts w:cs="Arial"/>
        </w:rPr>
        <w:t>addenda</w:t>
      </w:r>
      <w:proofErr w:type="spellEnd"/>
      <w:r>
        <w:rPr>
          <w:rFonts w:cs="Arial"/>
        </w:rPr>
        <w:t xml:space="preserve"> proyectada al Convenio referido precedentemente, así como la transferencia de $ 70.000.000 a la CND, considerando que la </w:t>
      </w:r>
      <w:proofErr w:type="spellStart"/>
      <w:r>
        <w:rPr>
          <w:rFonts w:cs="Arial"/>
        </w:rPr>
        <w:t>addenda</w:t>
      </w:r>
      <w:proofErr w:type="spellEnd"/>
      <w:r>
        <w:rPr>
          <w:rFonts w:cs="Arial"/>
        </w:rPr>
        <w:t xml:space="preserve"> proyectada así como la transferencia  encontraban su causa en el Convenio suscrito entre el MIDES  y  la Corporación Nacional para el Desarrollo, </w:t>
      </w:r>
      <w:r w:rsidR="00FE3834">
        <w:rPr>
          <w:rFonts w:cs="Arial"/>
        </w:rPr>
        <w:t>observado por este Tribunal en S</w:t>
      </w:r>
      <w:r>
        <w:rPr>
          <w:rFonts w:cs="Arial"/>
        </w:rPr>
        <w:t xml:space="preserve">esión de fecha 15 de diciembre de 2010; </w:t>
      </w:r>
    </w:p>
    <w:p w:rsidR="006B58C3" w:rsidRDefault="0084744E" w:rsidP="00FE3834">
      <w:pPr>
        <w:spacing w:line="360" w:lineRule="auto"/>
        <w:ind w:firstLine="2694"/>
        <w:jc w:val="both"/>
      </w:pPr>
      <w:r>
        <w:rPr>
          <w:rFonts w:cs="Arial"/>
          <w:b/>
        </w:rPr>
        <w:t xml:space="preserve">5) </w:t>
      </w:r>
      <w:r>
        <w:rPr>
          <w:rFonts w:cs="Arial"/>
        </w:rPr>
        <w:t>que</w:t>
      </w:r>
      <w:r w:rsidR="002D71CE">
        <w:rPr>
          <w:rFonts w:cs="Arial"/>
        </w:rPr>
        <w:t>,</w:t>
      </w:r>
      <w:r>
        <w:rPr>
          <w:rFonts w:cs="Arial"/>
        </w:rPr>
        <w:t xml:space="preserve"> </w:t>
      </w:r>
      <w:r w:rsidR="00FE3834">
        <w:rPr>
          <w:rFonts w:cs="Arial"/>
        </w:rPr>
        <w:t>este Tribunal, en sucesivas R</w:t>
      </w:r>
      <w:r w:rsidR="002D71CE">
        <w:rPr>
          <w:rFonts w:cs="Arial"/>
        </w:rPr>
        <w:t>esoluciones observó gastos correspondientes a transferencias adicion</w:t>
      </w:r>
      <w:r>
        <w:rPr>
          <w:rFonts w:cs="Arial"/>
        </w:rPr>
        <w:t>al</w:t>
      </w:r>
      <w:r w:rsidR="007574B8">
        <w:rPr>
          <w:rFonts w:cs="Arial"/>
        </w:rPr>
        <w:t xml:space="preserve">es por entender que encontraban se causa en el Convenio y la adenda oportunamente observada; </w:t>
      </w:r>
      <w:r w:rsidR="007574B8">
        <w:rPr>
          <w:rFonts w:cs="Arial"/>
        </w:rPr>
        <w:lastRenderedPageBreak/>
        <w:t>los gastos respectivos fueron reiterados y comunicados a este Tribunal, el que mantuvo las respectivas observaciones;</w:t>
      </w:r>
      <w:r>
        <w:rPr>
          <w:rFonts w:cs="Arial"/>
        </w:rPr>
        <w:t xml:space="preserve"> </w:t>
      </w:r>
    </w:p>
    <w:p w:rsidR="006B58C3" w:rsidRDefault="007574B8" w:rsidP="00FE3834">
      <w:pPr>
        <w:spacing w:line="360" w:lineRule="auto"/>
        <w:ind w:firstLine="2694"/>
        <w:jc w:val="both"/>
      </w:pPr>
      <w:r>
        <w:rPr>
          <w:b/>
        </w:rPr>
        <w:t>6</w:t>
      </w:r>
      <w:r w:rsidR="006B58C3" w:rsidRPr="005C69A2">
        <w:rPr>
          <w:b/>
        </w:rPr>
        <w:t>)</w:t>
      </w:r>
      <w:r w:rsidR="006B58C3">
        <w:t xml:space="preserve">  que en esta oportun</w:t>
      </w:r>
      <w:r w:rsidR="00FE3834">
        <w:t>idad, se remite un P</w:t>
      </w:r>
      <w:r w:rsidR="00F12528">
        <w:t>royecto de R</w:t>
      </w:r>
      <w:r w:rsidR="006B58C3">
        <w:t xml:space="preserve">esolución del Poder Ejecutivo, por intermedio del cual  se autoriza la transferencia </w:t>
      </w:r>
      <w:r w:rsidR="00FE3834">
        <w:t xml:space="preserve">   </w:t>
      </w:r>
      <w:r w:rsidR="006B58C3">
        <w:t xml:space="preserve">a </w:t>
      </w:r>
      <w:r w:rsidR="00FE3834">
        <w:t xml:space="preserve">  </w:t>
      </w:r>
      <w:r w:rsidR="006B58C3">
        <w:t xml:space="preserve">la </w:t>
      </w:r>
      <w:r w:rsidR="00FE3834">
        <w:t xml:space="preserve">  </w:t>
      </w:r>
      <w:r w:rsidR="006B58C3">
        <w:t xml:space="preserve">Corporación </w:t>
      </w:r>
      <w:r w:rsidR="00FE3834">
        <w:t xml:space="preserve">  </w:t>
      </w:r>
      <w:r w:rsidR="006B58C3">
        <w:t xml:space="preserve">Nacional </w:t>
      </w:r>
      <w:r w:rsidR="00FE3834">
        <w:t xml:space="preserve"> </w:t>
      </w:r>
      <w:r w:rsidR="006B58C3">
        <w:t xml:space="preserve">para </w:t>
      </w:r>
      <w:r w:rsidR="00FE3834">
        <w:t xml:space="preserve">  </w:t>
      </w:r>
      <w:r w:rsidR="006B58C3">
        <w:t xml:space="preserve">el </w:t>
      </w:r>
      <w:r w:rsidR="00FE3834">
        <w:t xml:space="preserve"> </w:t>
      </w:r>
      <w:r w:rsidR="006B58C3">
        <w:t xml:space="preserve">Desarrollo </w:t>
      </w:r>
      <w:r w:rsidR="00FE3834">
        <w:t xml:space="preserve"> </w:t>
      </w:r>
      <w:r w:rsidR="006B58C3">
        <w:t xml:space="preserve">de </w:t>
      </w:r>
      <w:r w:rsidR="00FE3834">
        <w:t xml:space="preserve">  </w:t>
      </w:r>
      <w:r w:rsidR="006B58C3">
        <w:t xml:space="preserve">hasta </w:t>
      </w:r>
      <w:r w:rsidR="00FE3834">
        <w:t xml:space="preserve">  $ 36.512.856 para el E</w:t>
      </w:r>
      <w:r w:rsidR="006B58C3">
        <w:t>jercicio 2015;</w:t>
      </w:r>
    </w:p>
    <w:p w:rsidR="006B58C3" w:rsidRDefault="007574B8" w:rsidP="00FE3834">
      <w:pPr>
        <w:spacing w:line="360" w:lineRule="auto"/>
        <w:ind w:firstLine="2694"/>
        <w:jc w:val="both"/>
      </w:pPr>
      <w:r>
        <w:rPr>
          <w:b/>
        </w:rPr>
        <w:t>7</w:t>
      </w:r>
      <w:r w:rsidR="006B58C3" w:rsidRPr="005C69A2">
        <w:rPr>
          <w:b/>
        </w:rPr>
        <w:t>)</w:t>
      </w:r>
      <w:r w:rsidR="006B58C3">
        <w:t xml:space="preserve"> que se adjunta documento de afectación Nº 350 del </w:t>
      </w:r>
      <w:r w:rsidR="00FE3834">
        <w:t>0</w:t>
      </w:r>
      <w:r w:rsidR="006B58C3">
        <w:t>8/</w:t>
      </w:r>
      <w:r w:rsidR="00FE3834">
        <w:t>0</w:t>
      </w:r>
      <w:r w:rsidR="006B58C3">
        <w:t xml:space="preserve">5/15, por el cual imputa la suma $ 36.512.856  al Inciso Nº 15, Unidad Ejecutora 001, Programa 401, Proyecto 110,  Objeto del gasto 519, Financiamiento 1.1;  </w:t>
      </w:r>
    </w:p>
    <w:p w:rsidR="0084744E" w:rsidRDefault="0084744E" w:rsidP="004870C8">
      <w:pPr>
        <w:pStyle w:val="Textoindependiente2"/>
        <w:ind w:firstLine="851"/>
        <w:rPr>
          <w:color w:val="auto"/>
        </w:rPr>
      </w:pPr>
      <w:r>
        <w:rPr>
          <w:rFonts w:cs="Arial"/>
          <w:b/>
          <w:bCs/>
          <w:color w:val="auto"/>
        </w:rPr>
        <w:t>CONSIDERANDO</w:t>
      </w:r>
      <w:r>
        <w:rPr>
          <w:rFonts w:cs="Arial"/>
          <w:color w:val="auto"/>
        </w:rPr>
        <w:t xml:space="preserve">: </w:t>
      </w:r>
      <w:r>
        <w:rPr>
          <w:color w:val="auto"/>
        </w:rPr>
        <w:t xml:space="preserve">que la transferencia de </w:t>
      </w:r>
      <w:r>
        <w:rPr>
          <w:rFonts w:cs="Arial"/>
          <w:color w:val="auto"/>
        </w:rPr>
        <w:t>$ 36.512.856</w:t>
      </w:r>
      <w:r>
        <w:rPr>
          <w:color w:val="auto"/>
        </w:rPr>
        <w:t xml:space="preserve">, encuentra su causa en el Convenio suscrito entre el MIDES y la Corporación Nacional para el Desarrollo, </w:t>
      </w:r>
      <w:r w:rsidR="00FE3834">
        <w:rPr>
          <w:color w:val="auto"/>
        </w:rPr>
        <w:t>observado por este Tribunal en S</w:t>
      </w:r>
      <w:r>
        <w:rPr>
          <w:color w:val="auto"/>
        </w:rPr>
        <w:t>esión de fecha 15/12/1</w:t>
      </w:r>
      <w:r w:rsidR="00016E8A">
        <w:rPr>
          <w:color w:val="auto"/>
        </w:rPr>
        <w:t>0</w:t>
      </w:r>
      <w:r>
        <w:rPr>
          <w:color w:val="auto"/>
        </w:rPr>
        <w:t xml:space="preserve">; </w:t>
      </w:r>
    </w:p>
    <w:p w:rsidR="0084744E" w:rsidRDefault="0084744E" w:rsidP="004870C8">
      <w:pPr>
        <w:widowControl w:val="0"/>
        <w:spacing w:line="360" w:lineRule="auto"/>
        <w:ind w:firstLine="851"/>
        <w:jc w:val="both"/>
        <w:rPr>
          <w:lang w:val="es-UY"/>
        </w:rPr>
      </w:pPr>
      <w:r>
        <w:rPr>
          <w:b/>
          <w:bCs/>
          <w:lang w:val="es-UY"/>
        </w:rPr>
        <w:t>ATENTO</w:t>
      </w:r>
      <w:r>
        <w:rPr>
          <w:lang w:val="es-UY"/>
        </w:rPr>
        <w:t>: a lo expresado precedente</w:t>
      </w:r>
      <w:r w:rsidR="00FE3834">
        <w:rPr>
          <w:lang w:val="es-UY"/>
        </w:rPr>
        <w:t>mente y a lo dispuesto por los Artículos 211 Literales B) y E</w:t>
      </w:r>
      <w:r>
        <w:rPr>
          <w:lang w:val="es-UY"/>
        </w:rPr>
        <w:t>) y</w:t>
      </w:r>
      <w:r w:rsidR="00FE3834">
        <w:rPr>
          <w:lang w:val="es-UY"/>
        </w:rPr>
        <w:t>,</w:t>
      </w:r>
      <w:r>
        <w:rPr>
          <w:lang w:val="es-UY"/>
        </w:rPr>
        <w:t xml:space="preserve"> 228 de la Constitución de la República;                 </w:t>
      </w:r>
    </w:p>
    <w:p w:rsidR="0084744E" w:rsidRDefault="0084744E" w:rsidP="0084744E">
      <w:pPr>
        <w:widowControl w:val="0"/>
        <w:spacing w:line="360" w:lineRule="auto"/>
        <w:ind w:firstLine="708"/>
        <w:jc w:val="center"/>
        <w:rPr>
          <w:b/>
          <w:bCs/>
          <w:lang w:val="es-UY"/>
        </w:rPr>
      </w:pPr>
    </w:p>
    <w:p w:rsidR="0084744E" w:rsidRDefault="0084744E" w:rsidP="0035010E">
      <w:pPr>
        <w:widowControl w:val="0"/>
        <w:spacing w:line="360" w:lineRule="auto"/>
        <w:ind w:firstLine="708"/>
        <w:jc w:val="center"/>
        <w:rPr>
          <w:lang w:val="es-UY"/>
        </w:rPr>
      </w:pPr>
      <w:r>
        <w:rPr>
          <w:b/>
          <w:bCs/>
          <w:lang w:val="es-UY"/>
        </w:rPr>
        <w:t>EL TRIBUNAL ACUERDA</w:t>
      </w:r>
      <w:r w:rsidR="0035010E">
        <w:rPr>
          <w:lang w:val="es-UY"/>
        </w:rPr>
        <w:t>:</w:t>
      </w:r>
    </w:p>
    <w:p w:rsidR="0084744E" w:rsidRDefault="0084744E" w:rsidP="0084744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Observar </w:t>
      </w:r>
      <w:r w:rsidR="0035010E">
        <w:rPr>
          <w:rFonts w:ascii="Arial" w:hAnsi="Arial" w:cs="Arial"/>
        </w:rPr>
        <w:t xml:space="preserve"> </w:t>
      </w:r>
      <w:r w:rsidR="00016E8A">
        <w:rPr>
          <w:rFonts w:ascii="Arial" w:hAnsi="Arial" w:cs="Arial"/>
        </w:rPr>
        <w:t xml:space="preserve">el </w:t>
      </w:r>
      <w:r w:rsidR="0035010E">
        <w:rPr>
          <w:rFonts w:ascii="Arial" w:hAnsi="Arial" w:cs="Arial"/>
        </w:rPr>
        <w:t xml:space="preserve"> </w:t>
      </w:r>
      <w:r w:rsidR="00016E8A">
        <w:rPr>
          <w:rFonts w:ascii="Arial" w:hAnsi="Arial" w:cs="Arial"/>
        </w:rPr>
        <w:t xml:space="preserve">gasto </w:t>
      </w:r>
      <w:r w:rsidR="0035010E">
        <w:rPr>
          <w:rFonts w:ascii="Arial" w:hAnsi="Arial" w:cs="Arial"/>
        </w:rPr>
        <w:t xml:space="preserve"> </w:t>
      </w:r>
      <w:r w:rsidR="00016E8A">
        <w:rPr>
          <w:rFonts w:ascii="Arial" w:hAnsi="Arial" w:cs="Arial"/>
        </w:rPr>
        <w:t xml:space="preserve">derivado </w:t>
      </w:r>
      <w:r w:rsidR="0035010E">
        <w:rPr>
          <w:rFonts w:ascii="Arial" w:hAnsi="Arial" w:cs="Arial"/>
        </w:rPr>
        <w:t xml:space="preserve"> </w:t>
      </w:r>
      <w:r w:rsidR="00016E8A">
        <w:rPr>
          <w:rFonts w:ascii="Arial" w:hAnsi="Arial" w:cs="Arial"/>
        </w:rPr>
        <w:t xml:space="preserve">de </w:t>
      </w:r>
      <w:r w:rsidR="00350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 </w:t>
      </w:r>
      <w:r w:rsidR="00350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transferencia </w:t>
      </w:r>
      <w:r w:rsidR="00350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adiciona</w:t>
      </w:r>
      <w:r w:rsidR="00016E8A">
        <w:rPr>
          <w:rFonts w:ascii="Arial" w:hAnsi="Arial" w:cs="Arial"/>
        </w:rPr>
        <w:t>l de  hasta  $ 36.512.856 a realizarse a la Corporación Nacional para el Desarrollo;</w:t>
      </w:r>
      <w:r>
        <w:rPr>
          <w:rFonts w:ascii="Arial" w:hAnsi="Arial" w:cs="Arial"/>
        </w:rPr>
        <w:t xml:space="preserve"> </w:t>
      </w:r>
    </w:p>
    <w:p w:rsidR="0084744E" w:rsidRDefault="0084744E" w:rsidP="0084744E">
      <w:pPr>
        <w:widowControl w:val="0"/>
        <w:numPr>
          <w:ilvl w:val="0"/>
          <w:numId w:val="1"/>
        </w:numPr>
        <w:spacing w:line="360" w:lineRule="auto"/>
        <w:jc w:val="both"/>
        <w:rPr>
          <w:rFonts w:cs="Arial"/>
          <w:lang w:val="es-UY"/>
        </w:rPr>
      </w:pPr>
      <w:r>
        <w:rPr>
          <w:rFonts w:cs="Arial"/>
        </w:rPr>
        <w:t xml:space="preserve"> Devolver los antecedentes a la Administración actuante</w:t>
      </w:r>
      <w:r w:rsidR="0035010E">
        <w:rPr>
          <w:rFonts w:cs="Arial"/>
        </w:rPr>
        <w:t>.</w:t>
      </w:r>
      <w:bookmarkStart w:id="0" w:name="_GoBack"/>
      <w:bookmarkEnd w:id="0"/>
    </w:p>
    <w:p w:rsidR="0084744E" w:rsidRDefault="0084744E" w:rsidP="0084744E">
      <w:pPr>
        <w:widowControl w:val="0"/>
        <w:spacing w:line="360" w:lineRule="auto"/>
        <w:ind w:left="720"/>
        <w:jc w:val="both"/>
        <w:rPr>
          <w:rFonts w:cs="Arial"/>
          <w:lang w:val="es-UY"/>
        </w:rPr>
      </w:pPr>
    </w:p>
    <w:p w:rsidR="0084744E" w:rsidRDefault="0084744E" w:rsidP="0084744E">
      <w:pPr>
        <w:widowControl w:val="0"/>
        <w:spacing w:line="360" w:lineRule="auto"/>
        <w:ind w:firstLine="708"/>
        <w:jc w:val="both"/>
        <w:rPr>
          <w:rFonts w:cs="Arial"/>
          <w:lang w:val="es-UY"/>
        </w:rPr>
      </w:pPr>
    </w:p>
    <w:p w:rsidR="004870C8" w:rsidRDefault="004870C8">
      <w:pPr>
        <w:rPr>
          <w:rFonts w:cs="Arial"/>
          <w:bCs/>
          <w:iCs/>
          <w:lang w:val="es-UY"/>
        </w:rPr>
      </w:pPr>
    </w:p>
    <w:p w:rsidR="00D179BC" w:rsidRDefault="004870C8">
      <w:proofErr w:type="spellStart"/>
      <w:proofErr w:type="gramStart"/>
      <w:r>
        <w:rPr>
          <w:rFonts w:cs="Arial"/>
          <w:bCs/>
          <w:iCs/>
          <w:lang w:val="es-UY"/>
        </w:rPr>
        <w:t>mp</w:t>
      </w:r>
      <w:proofErr w:type="spellEnd"/>
      <w:proofErr w:type="gramEnd"/>
    </w:p>
    <w:sectPr w:rsidR="00D179BC" w:rsidSect="004870C8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C8" w:rsidRDefault="004870C8" w:rsidP="004870C8">
      <w:r>
        <w:separator/>
      </w:r>
    </w:p>
  </w:endnote>
  <w:endnote w:type="continuationSeparator" w:id="0">
    <w:p w:rsidR="004870C8" w:rsidRDefault="004870C8" w:rsidP="0048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439892"/>
      <w:docPartObj>
        <w:docPartGallery w:val="Page Numbers (Bottom of Page)"/>
        <w:docPartUnique/>
      </w:docPartObj>
    </w:sdtPr>
    <w:sdtContent>
      <w:p w:rsidR="004870C8" w:rsidRDefault="004870C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10E">
          <w:rPr>
            <w:noProof/>
          </w:rPr>
          <w:t>3</w:t>
        </w:r>
        <w:r>
          <w:fldChar w:fldCharType="end"/>
        </w:r>
      </w:p>
    </w:sdtContent>
  </w:sdt>
  <w:p w:rsidR="004870C8" w:rsidRDefault="004870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C8" w:rsidRDefault="004870C8" w:rsidP="004870C8">
      <w:r>
        <w:separator/>
      </w:r>
    </w:p>
  </w:footnote>
  <w:footnote w:type="continuationSeparator" w:id="0">
    <w:p w:rsidR="004870C8" w:rsidRDefault="004870C8" w:rsidP="0048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A4E6D"/>
    <w:multiLevelType w:val="hybridMultilevel"/>
    <w:tmpl w:val="2D78D028"/>
    <w:lvl w:ilvl="0" w:tplc="B78CEA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4E"/>
    <w:rsid w:val="00016E8A"/>
    <w:rsid w:val="00132C18"/>
    <w:rsid w:val="00296717"/>
    <w:rsid w:val="002D71CE"/>
    <w:rsid w:val="0035010E"/>
    <w:rsid w:val="004740AE"/>
    <w:rsid w:val="004870C8"/>
    <w:rsid w:val="005C17B2"/>
    <w:rsid w:val="005D1BD3"/>
    <w:rsid w:val="00600D6E"/>
    <w:rsid w:val="006B58C3"/>
    <w:rsid w:val="007574B8"/>
    <w:rsid w:val="0084744E"/>
    <w:rsid w:val="00857AF8"/>
    <w:rsid w:val="00B83285"/>
    <w:rsid w:val="00D179BC"/>
    <w:rsid w:val="00F12528"/>
    <w:rsid w:val="00F6037E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744E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84744E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744E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4744E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84744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744E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84744E"/>
    <w:pPr>
      <w:widowControl w:val="0"/>
      <w:spacing w:line="360" w:lineRule="auto"/>
      <w:jc w:val="both"/>
    </w:pPr>
    <w:rPr>
      <w:color w:val="339966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4744E"/>
    <w:rPr>
      <w:rFonts w:ascii="Arial" w:eastAsia="Times New Roman" w:hAnsi="Arial" w:cs="Times New Roman"/>
      <w:color w:val="339966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870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0C8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70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C8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744E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84744E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744E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4744E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84744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744E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84744E"/>
    <w:pPr>
      <w:widowControl w:val="0"/>
      <w:spacing w:line="360" w:lineRule="auto"/>
      <w:jc w:val="both"/>
    </w:pPr>
    <w:rPr>
      <w:color w:val="339966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4744E"/>
    <w:rPr>
      <w:rFonts w:ascii="Arial" w:eastAsia="Times New Roman" w:hAnsi="Arial" w:cs="Times New Roman"/>
      <w:color w:val="339966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870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0C8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70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C8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MARTIN LAMAS GARCIA</dc:creator>
  <cp:lastModifiedBy>Lenovo User</cp:lastModifiedBy>
  <cp:revision>6</cp:revision>
  <dcterms:created xsi:type="dcterms:W3CDTF">2015-06-05T13:27:00Z</dcterms:created>
  <dcterms:modified xsi:type="dcterms:W3CDTF">2015-06-05T13:53:00Z</dcterms:modified>
</cp:coreProperties>
</file>