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A" w:rsidRPr="004837F4" w:rsidRDefault="00084C4A" w:rsidP="004837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4837F4">
        <w:rPr>
          <w:rFonts w:ascii="Arial" w:hAnsi="Arial" w:cs="Arial"/>
          <w:b/>
          <w:lang w:val="es-ES_tradnl"/>
        </w:rPr>
        <w:t>RESOLUCION ADOPTADA POR EL</w:t>
      </w:r>
    </w:p>
    <w:p w:rsidR="00084C4A" w:rsidRPr="004837F4" w:rsidRDefault="00084C4A" w:rsidP="004837F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84C4A" w:rsidRPr="004837F4" w:rsidRDefault="00084C4A" w:rsidP="004837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837F4">
        <w:rPr>
          <w:rFonts w:ascii="Arial" w:hAnsi="Arial" w:cs="Arial"/>
          <w:b/>
          <w:lang w:val="es-ES_tradnl"/>
        </w:rPr>
        <w:t>TRIBUNAL DE CUENTAS</w:t>
      </w:r>
    </w:p>
    <w:p w:rsidR="00084C4A" w:rsidRPr="004837F4" w:rsidRDefault="00084C4A" w:rsidP="004837F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84C4A" w:rsidRPr="004837F4" w:rsidRDefault="00084C4A" w:rsidP="004837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837F4">
        <w:rPr>
          <w:rFonts w:ascii="Arial" w:hAnsi="Arial" w:cs="Arial"/>
          <w:b/>
          <w:lang w:val="es-ES_tradnl"/>
        </w:rPr>
        <w:t>EN SESION DE FECHA 15 DE JULIO DE 2015</w:t>
      </w:r>
    </w:p>
    <w:p w:rsidR="00084C4A" w:rsidRPr="004837F4" w:rsidRDefault="00084C4A" w:rsidP="004837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084C4A" w:rsidRPr="004837F4" w:rsidRDefault="00084C4A" w:rsidP="004837F4">
      <w:pPr>
        <w:pStyle w:val="Ttulo1"/>
        <w:spacing w:line="240" w:lineRule="auto"/>
        <w:jc w:val="center"/>
        <w:rPr>
          <w:rFonts w:ascii="Arial" w:hAnsi="Arial" w:cs="Arial"/>
        </w:rPr>
      </w:pPr>
      <w:r w:rsidRPr="00C542A6">
        <w:rPr>
          <w:rFonts w:ascii="Arial" w:hAnsi="Arial" w:cs="Arial"/>
          <w:lang w:val="es-UY"/>
        </w:rPr>
        <w:t>(E. E. Nº</w:t>
      </w:r>
      <w:r w:rsidR="00C542A6">
        <w:rPr>
          <w:rFonts w:ascii="Arial" w:hAnsi="Arial" w:cs="Arial"/>
          <w:lang w:val="es-UY"/>
        </w:rPr>
        <w:t xml:space="preserve"> </w:t>
      </w:r>
      <w:r w:rsidRPr="004837F4">
        <w:rPr>
          <w:rFonts w:ascii="Arial" w:hAnsi="Arial" w:cs="Arial"/>
        </w:rPr>
        <w:t xml:space="preserve">2015-17-1-0002657, </w:t>
      </w:r>
      <w:proofErr w:type="spellStart"/>
      <w:r w:rsidRPr="00C542A6">
        <w:rPr>
          <w:rFonts w:ascii="Arial" w:hAnsi="Arial" w:cs="Arial"/>
          <w:lang w:val="es-UY"/>
        </w:rPr>
        <w:t>Ent</w:t>
      </w:r>
      <w:proofErr w:type="spellEnd"/>
      <w:r w:rsidRPr="00C542A6">
        <w:rPr>
          <w:rFonts w:ascii="Arial" w:hAnsi="Arial" w:cs="Arial"/>
          <w:lang w:val="es-UY"/>
        </w:rPr>
        <w:t xml:space="preserve">. N° </w:t>
      </w:r>
      <w:r w:rsidRPr="004837F4">
        <w:rPr>
          <w:rFonts w:ascii="Arial" w:hAnsi="Arial" w:cs="Arial"/>
          <w:bCs/>
        </w:rPr>
        <w:t>2195/15</w:t>
      </w:r>
      <w:r w:rsidRPr="00C542A6">
        <w:rPr>
          <w:rFonts w:ascii="Arial" w:hAnsi="Arial" w:cs="Arial"/>
          <w:lang w:val="es-UY"/>
        </w:rPr>
        <w:t>)</w:t>
      </w:r>
    </w:p>
    <w:p w:rsidR="00084C4A" w:rsidRPr="004837F4" w:rsidRDefault="00084C4A" w:rsidP="004837F4">
      <w:pPr>
        <w:spacing w:line="240" w:lineRule="auto"/>
        <w:jc w:val="center"/>
        <w:rPr>
          <w:rFonts w:ascii="Arial" w:hAnsi="Arial" w:cs="Arial"/>
          <w:lang w:val="es-MX"/>
        </w:rPr>
      </w:pPr>
    </w:p>
    <w:p w:rsidR="000609EC" w:rsidRDefault="000609EC" w:rsidP="004837F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962462">
        <w:rPr>
          <w:rFonts w:ascii="Arial" w:hAnsi="Arial"/>
        </w:rPr>
        <w:t>21</w:t>
      </w:r>
      <w:r>
        <w:rPr>
          <w:rFonts w:ascii="Arial" w:hAnsi="Arial"/>
        </w:rPr>
        <w:t xml:space="preserve"> de </w:t>
      </w:r>
      <w:r w:rsidR="000742F1">
        <w:rPr>
          <w:rFonts w:ascii="Arial" w:hAnsi="Arial"/>
        </w:rPr>
        <w:t>abril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9E1974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="00962462">
        <w:rPr>
          <w:rFonts w:ascii="Arial" w:hAnsi="Arial"/>
        </w:rPr>
        <w:t>os</w:t>
      </w:r>
      <w:r w:rsidR="00EE0D2C">
        <w:rPr>
          <w:rFonts w:ascii="Arial" w:hAnsi="Arial"/>
        </w:rPr>
        <w:t xml:space="preserve"> mes</w:t>
      </w:r>
      <w:r w:rsidR="00962462">
        <w:rPr>
          <w:rFonts w:ascii="Arial" w:hAnsi="Arial"/>
        </w:rPr>
        <w:t>es</w:t>
      </w:r>
      <w:r>
        <w:rPr>
          <w:rFonts w:ascii="Arial" w:hAnsi="Arial"/>
        </w:rPr>
        <w:t xml:space="preserve"> de </w:t>
      </w:r>
      <w:r w:rsidR="00962462">
        <w:rPr>
          <w:rFonts w:ascii="Arial" w:hAnsi="Arial"/>
        </w:rPr>
        <w:t>febrero y marzo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4837F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962462">
        <w:rPr>
          <w:rFonts w:ascii="Arial" w:hAnsi="Arial"/>
          <w:lang w:val="es-MX"/>
        </w:rPr>
        <w:t>11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en l</w:t>
      </w:r>
      <w:r w:rsidR="00962462">
        <w:rPr>
          <w:rFonts w:ascii="Arial" w:hAnsi="Arial"/>
          <w:lang w:val="es-MX"/>
        </w:rPr>
        <w:t>os</w:t>
      </w:r>
      <w:r w:rsidR="009E1974">
        <w:rPr>
          <w:rFonts w:ascii="Arial" w:hAnsi="Arial"/>
          <w:lang w:val="es-MX"/>
        </w:rPr>
        <w:t xml:space="preserve"> mes</w:t>
      </w:r>
      <w:r w:rsidR="00962462">
        <w:rPr>
          <w:rFonts w:ascii="Arial" w:hAnsi="Arial"/>
          <w:lang w:val="es-MX"/>
        </w:rPr>
        <w:t>es</w:t>
      </w:r>
      <w:r w:rsidR="009E1974">
        <w:rPr>
          <w:rFonts w:ascii="Arial" w:hAnsi="Arial"/>
          <w:lang w:val="es-MX"/>
        </w:rPr>
        <w:t xml:space="preserve"> de enero </w:t>
      </w:r>
      <w:r w:rsidR="00962462">
        <w:rPr>
          <w:rFonts w:ascii="Arial" w:hAnsi="Arial"/>
          <w:lang w:val="es-MX"/>
        </w:rPr>
        <w:t xml:space="preserve">y febrero </w:t>
      </w:r>
      <w:r w:rsidR="009E1974">
        <w:rPr>
          <w:rFonts w:ascii="Arial" w:hAnsi="Arial"/>
          <w:lang w:val="es-MX"/>
        </w:rPr>
        <w:t xml:space="preserve">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962462">
        <w:rPr>
          <w:rFonts w:ascii="Arial" w:hAnsi="Arial"/>
          <w:lang w:val="es-MX"/>
        </w:rPr>
        <w:t>1:209.472</w:t>
      </w:r>
      <w:r w:rsidR="009E1974">
        <w:rPr>
          <w:rFonts w:ascii="Arial" w:hAnsi="Arial"/>
          <w:lang w:val="es-MX"/>
        </w:rPr>
        <w:t>, según el siguiente detalle:</w:t>
      </w:r>
    </w:p>
    <w:p w:rsidR="00C542A6" w:rsidRDefault="00C542A6" w:rsidP="004837F4">
      <w:pPr>
        <w:ind w:firstLine="851"/>
        <w:rPr>
          <w:rFonts w:ascii="Arial" w:hAnsi="Arial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81"/>
        <w:gridCol w:w="1243"/>
        <w:gridCol w:w="1297"/>
      </w:tblGrid>
      <w:tr w:rsidR="009E1974" w:rsidTr="00962462">
        <w:tc>
          <w:tcPr>
            <w:tcW w:w="0" w:type="auto"/>
          </w:tcPr>
          <w:p w:rsidR="009E1974" w:rsidRPr="00C542A6" w:rsidRDefault="009E1974" w:rsidP="00084C4A">
            <w:pPr>
              <w:rPr>
                <w:rFonts w:ascii="Arial" w:hAnsi="Arial"/>
                <w:b/>
                <w:lang w:val="es-MX"/>
              </w:rPr>
            </w:pPr>
            <w:r w:rsidRPr="00C542A6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</w:tcPr>
          <w:p w:rsidR="009E1974" w:rsidRPr="00C542A6" w:rsidRDefault="009E1974" w:rsidP="00084C4A">
            <w:pPr>
              <w:rPr>
                <w:rFonts w:ascii="Arial" w:hAnsi="Arial"/>
                <w:b/>
                <w:lang w:val="es-MX"/>
              </w:rPr>
            </w:pPr>
            <w:r w:rsidRPr="00C542A6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</w:tcPr>
          <w:p w:rsidR="009E1974" w:rsidRPr="00C542A6" w:rsidRDefault="009E1974" w:rsidP="00084C4A">
            <w:pPr>
              <w:rPr>
                <w:rFonts w:ascii="Arial" w:hAnsi="Arial"/>
                <w:b/>
                <w:lang w:val="es-MX"/>
              </w:rPr>
            </w:pPr>
            <w:r w:rsidRPr="00C542A6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9E1974" w:rsidTr="00962462">
        <w:tc>
          <w:tcPr>
            <w:tcW w:w="0" w:type="auto"/>
          </w:tcPr>
          <w:p w:rsidR="009E1974" w:rsidRDefault="009E1974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0" w:type="auto"/>
          </w:tcPr>
          <w:p w:rsidR="009E1974" w:rsidRDefault="00962462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5</w:t>
            </w:r>
          </w:p>
        </w:tc>
        <w:tc>
          <w:tcPr>
            <w:tcW w:w="0" w:type="auto"/>
          </w:tcPr>
          <w:p w:rsidR="009E1974" w:rsidRDefault="00962462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333.450</w:t>
            </w:r>
          </w:p>
        </w:tc>
      </w:tr>
      <w:tr w:rsidR="009E1974" w:rsidTr="00962462">
        <w:tc>
          <w:tcPr>
            <w:tcW w:w="0" w:type="auto"/>
          </w:tcPr>
          <w:p w:rsidR="009E1974" w:rsidRDefault="009E1974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21 del TOCAF</w:t>
            </w:r>
          </w:p>
        </w:tc>
        <w:tc>
          <w:tcPr>
            <w:tcW w:w="0" w:type="auto"/>
          </w:tcPr>
          <w:p w:rsidR="009E1974" w:rsidRDefault="00962462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0" w:type="auto"/>
          </w:tcPr>
          <w:p w:rsidR="009E1974" w:rsidRDefault="00962462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640.854</w:t>
            </w:r>
          </w:p>
        </w:tc>
      </w:tr>
      <w:tr w:rsidR="00962462" w:rsidTr="00962462">
        <w:tc>
          <w:tcPr>
            <w:tcW w:w="0" w:type="auto"/>
          </w:tcPr>
          <w:p w:rsidR="00962462" w:rsidRDefault="00962462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211 de la Constitución de la República</w:t>
            </w:r>
          </w:p>
        </w:tc>
        <w:tc>
          <w:tcPr>
            <w:tcW w:w="0" w:type="auto"/>
          </w:tcPr>
          <w:p w:rsidR="00962462" w:rsidRDefault="00962462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</w:tcPr>
          <w:p w:rsidR="00962462" w:rsidRDefault="00962462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213.444</w:t>
            </w:r>
          </w:p>
        </w:tc>
      </w:tr>
      <w:tr w:rsidR="00962462" w:rsidTr="00962462">
        <w:tc>
          <w:tcPr>
            <w:tcW w:w="0" w:type="auto"/>
          </w:tcPr>
          <w:p w:rsidR="00962462" w:rsidRDefault="00962462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 los arts. 3 y 4 del Convenio 30 de la OIT</w:t>
            </w:r>
          </w:p>
        </w:tc>
        <w:tc>
          <w:tcPr>
            <w:tcW w:w="0" w:type="auto"/>
          </w:tcPr>
          <w:p w:rsidR="00962462" w:rsidRDefault="00962462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0" w:type="auto"/>
          </w:tcPr>
          <w:p w:rsidR="00962462" w:rsidRDefault="00962462" w:rsidP="00084C4A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21.724</w:t>
            </w:r>
          </w:p>
        </w:tc>
      </w:tr>
      <w:tr w:rsidR="009E1974" w:rsidTr="00962462">
        <w:tc>
          <w:tcPr>
            <w:tcW w:w="0" w:type="auto"/>
          </w:tcPr>
          <w:p w:rsidR="009E1974" w:rsidRPr="00C542A6" w:rsidRDefault="009E1974" w:rsidP="00084C4A">
            <w:pPr>
              <w:rPr>
                <w:rFonts w:ascii="Arial" w:hAnsi="Arial"/>
                <w:b/>
                <w:lang w:val="es-MX"/>
              </w:rPr>
            </w:pPr>
            <w:r w:rsidRPr="00C542A6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</w:tcPr>
          <w:p w:rsidR="009E1974" w:rsidRPr="00C542A6" w:rsidRDefault="00962462" w:rsidP="00084C4A">
            <w:pPr>
              <w:rPr>
                <w:rFonts w:ascii="Arial" w:hAnsi="Arial"/>
                <w:b/>
                <w:lang w:val="es-MX"/>
              </w:rPr>
            </w:pPr>
            <w:r w:rsidRPr="00C542A6">
              <w:rPr>
                <w:rFonts w:ascii="Arial" w:hAnsi="Arial"/>
                <w:b/>
                <w:lang w:val="es-MX"/>
              </w:rPr>
              <w:t>11</w:t>
            </w:r>
          </w:p>
        </w:tc>
        <w:tc>
          <w:tcPr>
            <w:tcW w:w="0" w:type="auto"/>
          </w:tcPr>
          <w:p w:rsidR="009E1974" w:rsidRPr="00C542A6" w:rsidRDefault="00962462" w:rsidP="00084C4A">
            <w:pPr>
              <w:rPr>
                <w:rFonts w:ascii="Arial" w:hAnsi="Arial"/>
                <w:b/>
                <w:lang w:val="es-MX"/>
              </w:rPr>
            </w:pPr>
            <w:r w:rsidRPr="00C542A6">
              <w:rPr>
                <w:rFonts w:ascii="Arial" w:hAnsi="Arial"/>
                <w:b/>
                <w:lang w:val="es-MX"/>
              </w:rPr>
              <w:t>1:209.472</w:t>
            </w:r>
          </w:p>
        </w:tc>
      </w:tr>
    </w:tbl>
    <w:p w:rsidR="000609EC" w:rsidRDefault="000742F1" w:rsidP="00084C4A">
      <w:p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585669" w:rsidRDefault="00F02EA7" w:rsidP="00C542A6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</w:t>
      </w:r>
      <w:r w:rsidR="000A6ECF">
        <w:rPr>
          <w:rFonts w:ascii="Arial" w:hAnsi="Arial"/>
          <w:spacing w:val="-3"/>
          <w:lang w:val="es-ES_tradnl"/>
        </w:rPr>
        <w:t xml:space="preserve">que los gastos observados por incumplimiento del </w:t>
      </w:r>
      <w:r w:rsidR="00EF7BC5">
        <w:rPr>
          <w:rFonts w:ascii="Arial" w:hAnsi="Arial"/>
          <w:spacing w:val="-3"/>
          <w:lang w:val="es-ES_tradnl"/>
        </w:rPr>
        <w:t>A</w:t>
      </w:r>
      <w:r w:rsidR="000A6ECF">
        <w:rPr>
          <w:rFonts w:ascii="Arial" w:hAnsi="Arial"/>
          <w:spacing w:val="-3"/>
          <w:lang w:val="es-ES_tradnl"/>
        </w:rPr>
        <w:t>rt</w:t>
      </w:r>
      <w:r w:rsidR="00EF7BC5">
        <w:rPr>
          <w:rFonts w:ascii="Arial" w:hAnsi="Arial"/>
          <w:spacing w:val="-3"/>
          <w:lang w:val="es-ES_tradnl"/>
        </w:rPr>
        <w:t>ículo</w:t>
      </w:r>
      <w:r w:rsidR="000A6ECF">
        <w:rPr>
          <w:rFonts w:ascii="Arial" w:hAnsi="Arial"/>
          <w:spacing w:val="-3"/>
          <w:lang w:val="es-ES_tradnl"/>
        </w:rPr>
        <w:t xml:space="preserve"> 21 del TOCAF mencionados en el Resultando 1) fueron reiterados por el Intendente y corresponden a refacción de viviendas efectuadas por Cooperativa Social 21 de Setiembre;</w:t>
      </w:r>
    </w:p>
    <w:p w:rsidR="00F02EA7" w:rsidRDefault="00585669" w:rsidP="00C542A6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3) </w:t>
      </w:r>
      <w:r w:rsidR="00F02EA7">
        <w:rPr>
          <w:rFonts w:ascii="Arial" w:hAnsi="Arial"/>
          <w:spacing w:val="-3"/>
          <w:lang w:val="es-ES_tradnl"/>
        </w:rPr>
        <w:t xml:space="preserve">que </w:t>
      </w:r>
      <w:r w:rsidR="009E1974">
        <w:rPr>
          <w:rFonts w:ascii="Arial" w:hAnsi="Arial"/>
          <w:spacing w:val="-3"/>
          <w:lang w:val="es-ES_tradnl"/>
        </w:rPr>
        <w:t>en l</w:t>
      </w:r>
      <w:r w:rsidR="00DD19B6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4837F4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EF7BC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EF7BC5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</w:t>
      </w:r>
      <w:r>
        <w:rPr>
          <w:rFonts w:ascii="Arial" w:hAnsi="Arial"/>
          <w:lang w:val="es-MX"/>
        </w:rPr>
        <w:lastRenderedPageBreak/>
        <w:t xml:space="preserve">facultad de insistencia o reiteración que les acuerda el </w:t>
      </w:r>
      <w:r w:rsidR="00EF7BC5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EF7BC5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EF7BC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C542A6">
        <w:rPr>
          <w:rFonts w:ascii="Arial" w:hAnsi="Arial"/>
          <w:spacing w:val="-3"/>
          <w:lang w:val="es-ES_tradnl"/>
        </w:rPr>
        <w:t>;</w:t>
      </w:r>
    </w:p>
    <w:p w:rsidR="00F02EA7" w:rsidRDefault="00F02EA7" w:rsidP="00C542A6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</w:t>
      </w:r>
      <w:r w:rsidR="000A6ECF">
        <w:rPr>
          <w:rFonts w:ascii="Arial" w:hAnsi="Arial"/>
          <w:spacing w:val="-3"/>
          <w:lang w:val="es-ES_tradnl"/>
        </w:rPr>
        <w:t>que los Gobiernos Departamentales carecen de norma legal habilitante para  comprometer gastos en materia de construcción de viviendas, por ser ello competencia legal asignada al Ministerio de Vivienda, Ordenamiento Territorial y Medio Ambiente, Banco Hipotecario del Uruguay y Agencia Nacional de Viviendas;</w:t>
      </w:r>
    </w:p>
    <w:p w:rsidR="000A6ECF" w:rsidRDefault="000A6ECF" w:rsidP="00C542A6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3)</w:t>
      </w:r>
      <w:r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</w:t>
      </w:r>
      <w:r w:rsidR="00C542A6">
        <w:rPr>
          <w:rFonts w:ascii="Arial" w:hAnsi="Arial"/>
          <w:spacing w:val="-3"/>
          <w:lang w:val="es-ES_tradnl"/>
        </w:rPr>
        <w:t>ntamiento de las observaciones;</w:t>
      </w:r>
    </w:p>
    <w:p w:rsidR="000609EC" w:rsidRDefault="000609EC" w:rsidP="004837F4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EF7BC5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EF7BC5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EF7BC5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C542A6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 w:rsidP="00084C4A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</w:t>
      </w:r>
      <w:r w:rsidR="009E1974">
        <w:rPr>
          <w:rFonts w:ascii="Arial" w:hAnsi="Arial"/>
          <w:lang w:val="es-MX"/>
        </w:rPr>
        <w:t xml:space="preserve">ella Unión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E924D9" w:rsidRDefault="00E924D9" w:rsidP="00084C4A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Téngase presente en lo sucesivo lo man</w:t>
      </w:r>
      <w:r w:rsidR="00C542A6">
        <w:rPr>
          <w:rFonts w:ascii="Arial" w:hAnsi="Arial"/>
          <w:lang w:val="es-MX"/>
        </w:rPr>
        <w:t>ifestado en el Considerando 2);</w:t>
      </w:r>
    </w:p>
    <w:p w:rsidR="00E924D9" w:rsidRPr="00E924D9" w:rsidRDefault="007C78DC" w:rsidP="00084C4A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E924D9">
        <w:rPr>
          <w:rFonts w:ascii="Arial" w:hAnsi="Arial"/>
        </w:rPr>
        <w:t>Dar cuenta a la Junta Departamental de Artigas;</w:t>
      </w:r>
    </w:p>
    <w:p w:rsidR="000609EC" w:rsidRDefault="000609EC" w:rsidP="00084C4A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E924D9">
        <w:rPr>
          <w:rFonts w:ascii="Arial" w:hAnsi="Arial"/>
          <w:lang w:val="es-MX"/>
        </w:rPr>
        <w:t xml:space="preserve">Comunicar  </w:t>
      </w:r>
      <w:r w:rsidR="007C78DC" w:rsidRPr="00E924D9">
        <w:rPr>
          <w:rFonts w:ascii="Arial" w:hAnsi="Arial"/>
          <w:lang w:val="es-MX"/>
        </w:rPr>
        <w:t xml:space="preserve">esta Resolución a la Intendencia de Artigas, al Municipio de </w:t>
      </w:r>
      <w:r w:rsidR="00954740" w:rsidRPr="00E924D9">
        <w:rPr>
          <w:rFonts w:ascii="Arial" w:hAnsi="Arial"/>
          <w:lang w:val="es-MX"/>
        </w:rPr>
        <w:t>Bella Unión</w:t>
      </w:r>
      <w:r w:rsidRPr="00E924D9">
        <w:rPr>
          <w:rFonts w:ascii="Arial" w:hAnsi="Arial"/>
          <w:lang w:val="es-MX"/>
        </w:rPr>
        <w:t xml:space="preserve"> y al Contador Delegado.</w:t>
      </w:r>
    </w:p>
    <w:p w:rsidR="00084C4A" w:rsidRPr="00E924D9" w:rsidRDefault="00084C4A" w:rsidP="00084C4A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bf</w:t>
      </w:r>
      <w:proofErr w:type="spellEnd"/>
      <w:proofErr w:type="gramEnd"/>
    </w:p>
    <w:sectPr w:rsidR="00084C4A" w:rsidRPr="00E924D9" w:rsidSect="00B4729B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A6" w:rsidRDefault="00C542A6">
      <w:r>
        <w:separator/>
      </w:r>
    </w:p>
  </w:endnote>
  <w:endnote w:type="continuationSeparator" w:id="0">
    <w:p w:rsidR="00C542A6" w:rsidRDefault="00C5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A6" w:rsidRDefault="00C542A6">
      <w:r>
        <w:separator/>
      </w:r>
    </w:p>
  </w:footnote>
  <w:footnote w:type="continuationSeparator" w:id="0">
    <w:p w:rsidR="00C542A6" w:rsidRDefault="00C54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713E7"/>
    <w:rsid w:val="000742F1"/>
    <w:rsid w:val="00084C4A"/>
    <w:rsid w:val="00086101"/>
    <w:rsid w:val="00094736"/>
    <w:rsid w:val="000A6ECF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4837F4"/>
    <w:rsid w:val="004C7769"/>
    <w:rsid w:val="005522E3"/>
    <w:rsid w:val="00562B66"/>
    <w:rsid w:val="005830F8"/>
    <w:rsid w:val="00585669"/>
    <w:rsid w:val="005A4212"/>
    <w:rsid w:val="00630484"/>
    <w:rsid w:val="006506DA"/>
    <w:rsid w:val="00655855"/>
    <w:rsid w:val="006E4B28"/>
    <w:rsid w:val="006F33B2"/>
    <w:rsid w:val="00702E1D"/>
    <w:rsid w:val="00717F71"/>
    <w:rsid w:val="00730354"/>
    <w:rsid w:val="007C78DC"/>
    <w:rsid w:val="00806B1A"/>
    <w:rsid w:val="008B3BDA"/>
    <w:rsid w:val="00920030"/>
    <w:rsid w:val="00932524"/>
    <w:rsid w:val="00954740"/>
    <w:rsid w:val="00962462"/>
    <w:rsid w:val="009E1974"/>
    <w:rsid w:val="009E617B"/>
    <w:rsid w:val="00A333E1"/>
    <w:rsid w:val="00A34878"/>
    <w:rsid w:val="00A55B15"/>
    <w:rsid w:val="00A86E69"/>
    <w:rsid w:val="00AE67E0"/>
    <w:rsid w:val="00B4729B"/>
    <w:rsid w:val="00B7204E"/>
    <w:rsid w:val="00B745DB"/>
    <w:rsid w:val="00BB4EDD"/>
    <w:rsid w:val="00BC71D5"/>
    <w:rsid w:val="00C06DFB"/>
    <w:rsid w:val="00C542A6"/>
    <w:rsid w:val="00C96B86"/>
    <w:rsid w:val="00D65093"/>
    <w:rsid w:val="00D66F6E"/>
    <w:rsid w:val="00D77CA7"/>
    <w:rsid w:val="00DC441B"/>
    <w:rsid w:val="00DD19B6"/>
    <w:rsid w:val="00E62F0C"/>
    <w:rsid w:val="00E75254"/>
    <w:rsid w:val="00E924D9"/>
    <w:rsid w:val="00EE0A01"/>
    <w:rsid w:val="00EE0D2C"/>
    <w:rsid w:val="00EE1016"/>
    <w:rsid w:val="00EF7BC5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37FC9F-83D2-46EE-A21E-2B130EC0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9</cp:revision>
  <cp:lastPrinted>2015-07-21T16:13:00Z</cp:lastPrinted>
  <dcterms:created xsi:type="dcterms:W3CDTF">2015-07-21T15:57:00Z</dcterms:created>
  <dcterms:modified xsi:type="dcterms:W3CDTF">2015-08-11T21:13:00Z</dcterms:modified>
</cp:coreProperties>
</file>