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30" w:rsidRPr="00523552" w:rsidRDefault="00B83C30">
      <w:pPr>
        <w:tabs>
          <w:tab w:val="center" w:pos="4253"/>
        </w:tabs>
        <w:suppressAutoHyphens/>
        <w:jc w:val="center"/>
        <w:rPr>
          <w:rFonts w:ascii="Arial" w:hAnsi="Arial" w:cs="Arial"/>
          <w:b/>
          <w:lang w:val="es-ES_tradnl"/>
        </w:rPr>
      </w:pPr>
      <w:bookmarkStart w:id="0" w:name="_GoBack"/>
      <w:bookmarkEnd w:id="0"/>
      <w:r w:rsidRPr="00523552">
        <w:rPr>
          <w:rFonts w:ascii="Arial" w:hAnsi="Arial" w:cs="Arial"/>
          <w:b/>
          <w:lang w:val="es-ES_tradnl"/>
        </w:rPr>
        <w:t>RESOLUCION ADOPTADA POR EL</w:t>
      </w:r>
    </w:p>
    <w:p w:rsidR="00B83C30" w:rsidRPr="00523552" w:rsidRDefault="00B83C30">
      <w:pPr>
        <w:tabs>
          <w:tab w:val="left" w:pos="-720"/>
        </w:tabs>
        <w:suppressAutoHyphens/>
        <w:jc w:val="center"/>
        <w:rPr>
          <w:rFonts w:ascii="Arial" w:hAnsi="Arial" w:cs="Arial"/>
          <w:b/>
          <w:lang w:val="es-ES_tradnl"/>
        </w:rPr>
      </w:pPr>
    </w:p>
    <w:p w:rsidR="00B83C30" w:rsidRPr="00523552" w:rsidRDefault="00B83C30">
      <w:pPr>
        <w:tabs>
          <w:tab w:val="center" w:pos="4253"/>
        </w:tabs>
        <w:suppressAutoHyphens/>
        <w:jc w:val="center"/>
        <w:rPr>
          <w:rFonts w:ascii="Arial" w:hAnsi="Arial" w:cs="Arial"/>
          <w:b/>
          <w:lang w:val="es-ES_tradnl"/>
        </w:rPr>
      </w:pPr>
      <w:r w:rsidRPr="00523552">
        <w:rPr>
          <w:rFonts w:ascii="Arial" w:hAnsi="Arial" w:cs="Arial"/>
          <w:b/>
          <w:lang w:val="es-ES_tradnl"/>
        </w:rPr>
        <w:t>TRIBUNAL DE CUENTAS</w:t>
      </w:r>
    </w:p>
    <w:p w:rsidR="00B83C30" w:rsidRPr="00523552" w:rsidRDefault="00B83C30">
      <w:pPr>
        <w:tabs>
          <w:tab w:val="left" w:pos="-720"/>
        </w:tabs>
        <w:suppressAutoHyphens/>
        <w:jc w:val="center"/>
        <w:rPr>
          <w:rFonts w:ascii="Arial" w:hAnsi="Arial" w:cs="Arial"/>
          <w:b/>
          <w:lang w:val="es-ES_tradnl"/>
        </w:rPr>
      </w:pPr>
    </w:p>
    <w:p w:rsidR="00B83C30" w:rsidRPr="00523552" w:rsidRDefault="00B83C30">
      <w:pPr>
        <w:tabs>
          <w:tab w:val="center" w:pos="4253"/>
        </w:tabs>
        <w:suppressAutoHyphens/>
        <w:jc w:val="center"/>
        <w:rPr>
          <w:rFonts w:ascii="Arial" w:hAnsi="Arial" w:cs="Arial"/>
          <w:b/>
          <w:lang w:val="es-ES_tradnl"/>
        </w:rPr>
      </w:pPr>
      <w:r w:rsidRPr="00523552">
        <w:rPr>
          <w:rFonts w:ascii="Arial" w:hAnsi="Arial" w:cs="Arial"/>
          <w:b/>
          <w:lang w:val="es-ES_tradnl"/>
        </w:rPr>
        <w:t>EN SESION DE FECHA 15 DE JULIO DE 2015</w:t>
      </w:r>
    </w:p>
    <w:p w:rsidR="00B83C30" w:rsidRPr="00523552" w:rsidRDefault="00B83C30">
      <w:pPr>
        <w:tabs>
          <w:tab w:val="center" w:pos="4253"/>
        </w:tabs>
        <w:suppressAutoHyphens/>
        <w:jc w:val="center"/>
        <w:rPr>
          <w:rFonts w:ascii="Arial" w:hAnsi="Arial" w:cs="Arial"/>
          <w:b/>
          <w:lang w:val="es-ES_tradnl"/>
        </w:rPr>
      </w:pPr>
    </w:p>
    <w:p w:rsidR="00B83C30" w:rsidRPr="00523552" w:rsidRDefault="00B83C30">
      <w:pPr>
        <w:tabs>
          <w:tab w:val="center" w:pos="4253"/>
        </w:tabs>
        <w:suppressAutoHyphens/>
        <w:jc w:val="center"/>
        <w:rPr>
          <w:rFonts w:ascii="Arial" w:hAnsi="Arial" w:cs="Arial"/>
          <w:b/>
          <w:lang w:val="es-UY"/>
        </w:rPr>
      </w:pPr>
      <w:r w:rsidRPr="00523552">
        <w:rPr>
          <w:rFonts w:ascii="Arial" w:hAnsi="Arial" w:cs="Arial"/>
          <w:b/>
          <w:lang w:val="es-UY"/>
        </w:rPr>
        <w:t xml:space="preserve">(E. E. Nº 2015-17-1-0001832, </w:t>
      </w:r>
      <w:proofErr w:type="spellStart"/>
      <w:r w:rsidRPr="00523552">
        <w:rPr>
          <w:rFonts w:ascii="Arial" w:hAnsi="Arial" w:cs="Arial"/>
          <w:b/>
          <w:lang w:val="es-UY"/>
        </w:rPr>
        <w:t>Ent</w:t>
      </w:r>
      <w:proofErr w:type="spellEnd"/>
      <w:r w:rsidRPr="00523552">
        <w:rPr>
          <w:rFonts w:ascii="Arial" w:hAnsi="Arial" w:cs="Arial"/>
          <w:b/>
          <w:lang w:val="es-UY"/>
        </w:rPr>
        <w:t>. N° 3451/15)</w:t>
      </w:r>
    </w:p>
    <w:p w:rsidR="00B83C30" w:rsidRPr="00523552" w:rsidRDefault="00B83C30">
      <w:pPr>
        <w:tabs>
          <w:tab w:val="center" w:pos="4253"/>
        </w:tabs>
        <w:suppressAutoHyphens/>
        <w:jc w:val="center"/>
        <w:rPr>
          <w:rFonts w:ascii="Arial" w:hAnsi="Arial"/>
          <w:spacing w:val="-3"/>
          <w:lang w:val="es-UY"/>
        </w:rPr>
      </w:pPr>
    </w:p>
    <w:p w:rsidR="00B83C30" w:rsidRPr="00523552" w:rsidRDefault="00B83C30">
      <w:pPr>
        <w:tabs>
          <w:tab w:val="center" w:pos="4253"/>
        </w:tabs>
        <w:suppressAutoHyphens/>
        <w:rPr>
          <w:rFonts w:ascii="Arial" w:hAnsi="Arial"/>
          <w:spacing w:val="-3"/>
          <w:lang w:val="es-UY"/>
        </w:rPr>
      </w:pPr>
    </w:p>
    <w:p w:rsidR="00647CF0" w:rsidRDefault="00647CF0" w:rsidP="00523552">
      <w:pPr>
        <w:pStyle w:val="Textoindependiente"/>
        <w:ind w:firstLine="851"/>
      </w:pPr>
      <w:r>
        <w:rPr>
          <w:b/>
          <w:bCs/>
        </w:rPr>
        <w:t>VISTO:</w:t>
      </w:r>
      <w:r>
        <w:t xml:space="preserve"> los antecedentes remitidos por la Presidencia de la República, relacionados con la suscripción del convenio entre la Oficina de Planeamiento y Presupuesto (OPP) y la Corporación Nacional para el Desarrollo (CND);</w:t>
      </w:r>
    </w:p>
    <w:p w:rsidR="00647CF0" w:rsidRPr="00D840A3" w:rsidRDefault="00647CF0" w:rsidP="00523552">
      <w:pPr>
        <w:spacing w:line="360" w:lineRule="auto"/>
        <w:ind w:firstLine="851"/>
        <w:jc w:val="both"/>
        <w:rPr>
          <w:rFonts w:ascii="Arial" w:hAnsi="Arial" w:cs="Arial"/>
        </w:rPr>
      </w:pPr>
      <w:r>
        <w:rPr>
          <w:rFonts w:ascii="Arial" w:hAnsi="Arial"/>
          <w:b/>
        </w:rPr>
        <w:t xml:space="preserve">RESULTANDO: </w:t>
      </w:r>
      <w:r w:rsidRPr="00D840A3">
        <w:rPr>
          <w:rFonts w:ascii="Arial" w:hAnsi="Arial" w:cs="Arial"/>
          <w:b/>
        </w:rPr>
        <w:t xml:space="preserve">1) </w:t>
      </w:r>
      <w:r w:rsidRPr="00D840A3">
        <w:rPr>
          <w:rFonts w:ascii="Arial" w:hAnsi="Arial" w:cs="Arial"/>
        </w:rPr>
        <w:t xml:space="preserve">que, con fecha 26 de febrero de 2015, se celebró </w:t>
      </w:r>
      <w:r w:rsidR="006A7A41">
        <w:rPr>
          <w:rFonts w:ascii="Arial" w:hAnsi="Arial" w:cs="Arial"/>
        </w:rPr>
        <w:t xml:space="preserve">un </w:t>
      </w:r>
      <w:r w:rsidRPr="00D840A3">
        <w:rPr>
          <w:rFonts w:ascii="Arial" w:hAnsi="Arial" w:cs="Arial"/>
        </w:rPr>
        <w:t xml:space="preserve">convenio entre la O.P.P. y la C.N.D., cuyo objeto consiste en establecer los contenidos y el alcance de la cooperación entre las partes referidas, a los efectos de la administración de los fondos transferidos por la OPP a la CND y de la realización por ésta, de contrataciones y compras de bienes y servicios por cuenta y orden de la OPP, para la implementación del Proyecto Convivencia en el marco </w:t>
      </w:r>
      <w:r w:rsidR="00523552">
        <w:rPr>
          <w:rFonts w:ascii="Arial" w:hAnsi="Arial" w:cs="Arial"/>
        </w:rPr>
        <w:t>del Programa “Uruguay Integra”;</w:t>
      </w:r>
    </w:p>
    <w:p w:rsidR="00647CF0" w:rsidRPr="00D840A3" w:rsidRDefault="00523552" w:rsidP="00523552">
      <w:pPr>
        <w:spacing w:line="360" w:lineRule="auto"/>
        <w:ind w:firstLine="2694"/>
        <w:jc w:val="both"/>
        <w:rPr>
          <w:rFonts w:ascii="Arial" w:hAnsi="Arial" w:cs="Arial"/>
        </w:rPr>
      </w:pPr>
      <w:r>
        <w:rPr>
          <w:rFonts w:ascii="Arial" w:hAnsi="Arial" w:cs="Arial"/>
          <w:b/>
        </w:rPr>
        <w:t xml:space="preserve"> </w:t>
      </w:r>
      <w:r w:rsidR="00647CF0" w:rsidRPr="00D840A3">
        <w:rPr>
          <w:rFonts w:ascii="Arial" w:hAnsi="Arial" w:cs="Arial"/>
          <w:b/>
        </w:rPr>
        <w:t>2)</w:t>
      </w:r>
      <w:r w:rsidR="00647CF0" w:rsidRPr="00D840A3">
        <w:rPr>
          <w:rFonts w:ascii="Arial" w:hAnsi="Arial" w:cs="Arial"/>
        </w:rPr>
        <w:t xml:space="preserve"> que por Resolución de este Tribunal, de fecha 8 de abril de 2015, se acordó observar el convenio  referido, en virtud que el servicio de administración de los fondos a transferirse a la CND en cumplimiento del convenio, puede y debe ser realizado por la propia OPP, razón por la que la CND no se encuentra amparada desde el punto de vista jurídico, para prestar el servicio de la administración del fondo en cuestión, siendo que  no se configura el supuesto exigido por el artículo 34 de la Ley 18.602, esto es, la imposibilidad de que dicha actividad pueda ser prestada por otra persona públ</w:t>
      </w:r>
      <w:r>
        <w:rPr>
          <w:rFonts w:ascii="Arial" w:hAnsi="Arial" w:cs="Arial"/>
        </w:rPr>
        <w:t>ica, en razón de sus cometidos;</w:t>
      </w:r>
    </w:p>
    <w:p w:rsidR="00647CF0" w:rsidRPr="00D840A3" w:rsidRDefault="00523552" w:rsidP="00523552">
      <w:pPr>
        <w:tabs>
          <w:tab w:val="left" w:pos="1843"/>
        </w:tabs>
        <w:spacing w:line="360" w:lineRule="auto"/>
        <w:ind w:firstLine="2694"/>
        <w:jc w:val="both"/>
        <w:rPr>
          <w:rFonts w:ascii="Arial" w:hAnsi="Arial" w:cs="Arial"/>
        </w:rPr>
      </w:pPr>
      <w:r>
        <w:rPr>
          <w:rFonts w:ascii="Arial" w:hAnsi="Arial" w:cs="Arial"/>
          <w:b/>
        </w:rPr>
        <w:t xml:space="preserve"> </w:t>
      </w:r>
      <w:r w:rsidR="00647CF0" w:rsidRPr="00D840A3">
        <w:rPr>
          <w:rFonts w:ascii="Arial" w:hAnsi="Arial" w:cs="Arial"/>
          <w:b/>
        </w:rPr>
        <w:t>3)</w:t>
      </w:r>
      <w:r w:rsidR="00647CF0" w:rsidRPr="00D840A3">
        <w:rPr>
          <w:rFonts w:ascii="Arial" w:hAnsi="Arial" w:cs="Arial"/>
        </w:rPr>
        <w:t xml:space="preserve"> que por Resolución del 21 de abril de 2015, el Director de la OPP, dispuso reiterar el gasto observado, en razón de la necesidad del mismo  para el  cumplimiento del convenio;</w:t>
      </w:r>
    </w:p>
    <w:p w:rsidR="00647CF0" w:rsidRPr="00D840A3" w:rsidRDefault="00523552" w:rsidP="00B83C30">
      <w:pPr>
        <w:tabs>
          <w:tab w:val="left" w:pos="1843"/>
        </w:tabs>
        <w:spacing w:line="360" w:lineRule="auto"/>
        <w:ind w:firstLine="2694"/>
        <w:jc w:val="both"/>
        <w:rPr>
          <w:rFonts w:ascii="Arial" w:hAnsi="Arial" w:cs="Arial"/>
        </w:rPr>
      </w:pPr>
      <w:r>
        <w:rPr>
          <w:rFonts w:ascii="Arial" w:hAnsi="Arial" w:cs="Arial"/>
          <w:b/>
          <w:bCs/>
        </w:rPr>
        <w:lastRenderedPageBreak/>
        <w:t xml:space="preserve"> </w:t>
      </w:r>
      <w:r w:rsidR="00647CF0" w:rsidRPr="00D840A3">
        <w:rPr>
          <w:rFonts w:ascii="Arial" w:hAnsi="Arial" w:cs="Arial"/>
          <w:b/>
          <w:bCs/>
        </w:rPr>
        <w:t>4)</w:t>
      </w:r>
      <w:r w:rsidR="00647CF0" w:rsidRPr="00D840A3">
        <w:rPr>
          <w:rFonts w:ascii="Arial" w:hAnsi="Arial" w:cs="Arial"/>
          <w:b/>
        </w:rPr>
        <w:t xml:space="preserve"> </w:t>
      </w:r>
      <w:r w:rsidR="00647CF0" w:rsidRPr="00D840A3">
        <w:rPr>
          <w:rFonts w:ascii="Arial" w:hAnsi="Arial" w:cs="Arial"/>
        </w:rPr>
        <w:t xml:space="preserve">que con fecha </w:t>
      </w:r>
      <w:r w:rsidR="00D840A3" w:rsidRPr="00D840A3">
        <w:rPr>
          <w:rFonts w:ascii="Arial" w:hAnsi="Arial" w:cs="Arial"/>
        </w:rPr>
        <w:t>18</w:t>
      </w:r>
      <w:r w:rsidR="00647CF0" w:rsidRPr="00D840A3">
        <w:rPr>
          <w:rFonts w:ascii="Arial" w:hAnsi="Arial" w:cs="Arial"/>
        </w:rPr>
        <w:t xml:space="preserve"> de </w:t>
      </w:r>
      <w:r w:rsidR="00D840A3" w:rsidRPr="00D840A3">
        <w:rPr>
          <w:rFonts w:ascii="Arial" w:hAnsi="Arial" w:cs="Arial"/>
        </w:rPr>
        <w:t>junio</w:t>
      </w:r>
      <w:r w:rsidR="00647CF0" w:rsidRPr="00D840A3">
        <w:rPr>
          <w:rFonts w:ascii="Arial" w:hAnsi="Arial" w:cs="Arial"/>
        </w:rPr>
        <w:t xml:space="preserve"> de 2015 la Contadora Auditora destacada ante </w:t>
      </w:r>
      <w:r w:rsidR="00D840A3" w:rsidRPr="00D840A3">
        <w:rPr>
          <w:rFonts w:ascii="Arial" w:hAnsi="Arial" w:cs="Arial"/>
        </w:rPr>
        <w:t>Presidencia de la República</w:t>
      </w:r>
      <w:r w:rsidR="00647CF0" w:rsidRPr="00D840A3">
        <w:rPr>
          <w:rFonts w:ascii="Arial" w:hAnsi="Arial" w:cs="Arial"/>
        </w:rPr>
        <w:t xml:space="preserve"> procedió a intervenir por reiteración el gasto observado;</w:t>
      </w:r>
    </w:p>
    <w:p w:rsidR="00647CF0" w:rsidRDefault="00647CF0" w:rsidP="00523552">
      <w:pPr>
        <w:spacing w:line="360" w:lineRule="auto"/>
        <w:ind w:firstLine="851"/>
        <w:jc w:val="both"/>
        <w:rPr>
          <w:rFonts w:ascii="Arial" w:hAnsi="Arial" w:cs="Arial"/>
          <w:lang w:val="es-MX"/>
        </w:rPr>
      </w:pPr>
      <w:r>
        <w:rPr>
          <w:rFonts w:ascii="Arial" w:hAnsi="Arial"/>
          <w:b/>
        </w:rPr>
        <w:t>CONSIDERANDO: 1</w:t>
      </w:r>
      <w:r>
        <w:rPr>
          <w:rFonts w:ascii="Arial" w:hAnsi="Arial" w:cs="Arial"/>
          <w:b/>
          <w:bCs/>
          <w:lang w:val="es-MX"/>
        </w:rPr>
        <w:t xml:space="preserve">) </w:t>
      </w:r>
      <w:r>
        <w:rPr>
          <w:rFonts w:ascii="Arial" w:hAnsi="Arial" w:cs="Arial"/>
          <w:lang w:val="es-MX"/>
        </w:rPr>
        <w:t xml:space="preserve">que el </w:t>
      </w:r>
      <w:r w:rsidR="00E215ED">
        <w:rPr>
          <w:rFonts w:ascii="Arial" w:hAnsi="Arial" w:cs="Arial"/>
          <w:lang w:val="es-MX"/>
        </w:rPr>
        <w:t>A</w:t>
      </w:r>
      <w:r>
        <w:rPr>
          <w:rFonts w:ascii="Arial" w:hAnsi="Arial" w:cs="Arial"/>
          <w:lang w:val="es-MX"/>
        </w:rPr>
        <w:t xml:space="preserve">rtículo 475 de la Ley 17.296 de 21/2/01, establece que los Ordenadores de gastos o pagos, al ejercer la facultad de insistencia o reiteración que les acuerda el </w:t>
      </w:r>
      <w:r w:rsidR="00E215ED">
        <w:rPr>
          <w:rFonts w:ascii="Arial" w:hAnsi="Arial" w:cs="Arial"/>
          <w:lang w:val="es-MX"/>
        </w:rPr>
        <w:t>Artículo 211 Literal</w:t>
      </w:r>
      <w:r>
        <w:rPr>
          <w:rFonts w:ascii="Arial" w:hAnsi="Arial" w:cs="Arial"/>
          <w:lang w:val="es-MX"/>
        </w:rPr>
        <w:t xml:space="preserve"> B) de la Constitución de la República, deben hacerlo en forma fundada, detallando los motivos que a su juicio justifican seguir el curso del gasto o pago;</w:t>
      </w:r>
    </w:p>
    <w:p w:rsidR="00647CF0" w:rsidRDefault="00647CF0" w:rsidP="00523552">
      <w:pPr>
        <w:spacing w:line="360" w:lineRule="auto"/>
        <w:ind w:firstLine="2977"/>
        <w:jc w:val="both"/>
        <w:rPr>
          <w:rFonts w:ascii="Arial" w:hAnsi="Arial" w:cs="Arial"/>
          <w:lang w:val="es-MX"/>
        </w:rPr>
      </w:pPr>
      <w:r>
        <w:rPr>
          <w:rFonts w:ascii="Arial" w:hAnsi="Arial" w:cs="Arial"/>
          <w:b/>
          <w:bCs/>
          <w:lang w:val="es-MX"/>
        </w:rPr>
        <w:t xml:space="preserve">2) </w:t>
      </w:r>
      <w:r>
        <w:rPr>
          <w:rFonts w:ascii="Arial" w:hAnsi="Arial" w:cs="Arial"/>
          <w:lang w:val="es-MX"/>
        </w:rPr>
        <w:t xml:space="preserve">que las razones invocadas por la Administración no modifican los argumentos expresados por este Tribunal en la Resolución de fecha </w:t>
      </w:r>
      <w:r w:rsidR="006A7A41">
        <w:rPr>
          <w:rFonts w:ascii="Arial" w:hAnsi="Arial" w:cs="Arial"/>
          <w:lang w:val="es-MX"/>
        </w:rPr>
        <w:t>8</w:t>
      </w:r>
      <w:r>
        <w:rPr>
          <w:rFonts w:ascii="Arial" w:hAnsi="Arial" w:cs="Arial"/>
          <w:lang w:val="es-MX"/>
        </w:rPr>
        <w:t xml:space="preserve"> de </w:t>
      </w:r>
      <w:r w:rsidR="006A7A41">
        <w:rPr>
          <w:rFonts w:ascii="Arial" w:hAnsi="Arial" w:cs="Arial"/>
          <w:lang w:val="es-MX"/>
        </w:rPr>
        <w:t>abril</w:t>
      </w:r>
      <w:r>
        <w:rPr>
          <w:rFonts w:ascii="Arial" w:hAnsi="Arial" w:cs="Arial"/>
          <w:lang w:val="es-MX"/>
        </w:rPr>
        <w:t xml:space="preserve"> de 201</w:t>
      </w:r>
      <w:r w:rsidR="006A7A41">
        <w:rPr>
          <w:rFonts w:ascii="Arial" w:hAnsi="Arial" w:cs="Arial"/>
          <w:lang w:val="es-MX"/>
        </w:rPr>
        <w:t>5</w:t>
      </w:r>
      <w:r>
        <w:rPr>
          <w:rFonts w:ascii="Arial" w:hAnsi="Arial" w:cs="Arial"/>
          <w:lang w:val="es-MX"/>
        </w:rPr>
        <w:t>,</w:t>
      </w:r>
      <w:r>
        <w:rPr>
          <w:rFonts w:ascii="Arial" w:hAnsi="Arial" w:cs="Arial"/>
          <w:b/>
          <w:bCs/>
          <w:lang w:val="es-MX"/>
        </w:rPr>
        <w:t xml:space="preserve"> </w:t>
      </w:r>
      <w:r>
        <w:rPr>
          <w:rFonts w:ascii="Arial" w:hAnsi="Arial" w:cs="Arial"/>
          <w:lang w:val="es-MX"/>
        </w:rPr>
        <w:t>por lo que se mantienen incambiadas las causas que motivaran la observación;</w:t>
      </w:r>
    </w:p>
    <w:p w:rsidR="00647CF0" w:rsidRDefault="00647CF0" w:rsidP="00523552">
      <w:pPr>
        <w:spacing w:line="360" w:lineRule="auto"/>
        <w:ind w:firstLine="851"/>
        <w:jc w:val="both"/>
        <w:rPr>
          <w:rFonts w:ascii="Arial" w:hAnsi="Arial"/>
        </w:rPr>
      </w:pPr>
      <w:r>
        <w:rPr>
          <w:rFonts w:ascii="Arial" w:hAnsi="Arial"/>
          <w:b/>
        </w:rPr>
        <w:t xml:space="preserve">ATENTO: </w:t>
      </w:r>
      <w:r>
        <w:rPr>
          <w:rFonts w:ascii="Arial" w:hAnsi="Arial"/>
        </w:rPr>
        <w:t>a lo precedentemente expuesto;</w:t>
      </w:r>
    </w:p>
    <w:p w:rsidR="00647CF0" w:rsidRDefault="00647CF0" w:rsidP="00647CF0">
      <w:pPr>
        <w:pStyle w:val="Ttulo2"/>
      </w:pPr>
      <w:r>
        <w:t>EL TRIBUNAL ACUERDA</w:t>
      </w:r>
    </w:p>
    <w:p w:rsidR="00647CF0" w:rsidRDefault="00647CF0" w:rsidP="00E215ED">
      <w:pPr>
        <w:tabs>
          <w:tab w:val="left" w:pos="142"/>
        </w:tabs>
        <w:spacing w:line="360" w:lineRule="auto"/>
        <w:ind w:left="284" w:hanging="284"/>
        <w:jc w:val="both"/>
        <w:rPr>
          <w:rFonts w:ascii="Arial" w:hAnsi="Arial"/>
          <w:lang w:val="es-MX"/>
        </w:rPr>
      </w:pPr>
      <w:r w:rsidRPr="005A5590">
        <w:rPr>
          <w:rFonts w:ascii="Arial" w:hAnsi="Arial"/>
          <w:b/>
          <w:lang w:val="es-MX"/>
        </w:rPr>
        <w:t>1)</w:t>
      </w:r>
      <w:r>
        <w:rPr>
          <w:rFonts w:ascii="Arial" w:hAnsi="Arial"/>
          <w:lang w:val="es-MX"/>
        </w:rPr>
        <w:t xml:space="preserve"> Mantener la observación formulada por</w:t>
      </w:r>
      <w:r>
        <w:rPr>
          <w:rFonts w:ascii="Arial" w:hAnsi="Arial" w:cs="Arial"/>
          <w:lang w:val="es-MX"/>
        </w:rPr>
        <w:t xml:space="preserve"> este Tribunal en la Resolución de fecha </w:t>
      </w:r>
      <w:r w:rsidR="006A7A41">
        <w:rPr>
          <w:rFonts w:ascii="Arial" w:hAnsi="Arial"/>
        </w:rPr>
        <w:t>8</w:t>
      </w:r>
      <w:r>
        <w:rPr>
          <w:rFonts w:ascii="Arial" w:hAnsi="Arial"/>
        </w:rPr>
        <w:t xml:space="preserve"> de </w:t>
      </w:r>
      <w:r w:rsidR="006A7A41">
        <w:rPr>
          <w:rFonts w:ascii="Arial" w:hAnsi="Arial"/>
        </w:rPr>
        <w:t>abril</w:t>
      </w:r>
      <w:r>
        <w:rPr>
          <w:rFonts w:ascii="Arial" w:hAnsi="Arial"/>
        </w:rPr>
        <w:t xml:space="preserve"> de 201</w:t>
      </w:r>
      <w:r w:rsidR="006A7A41">
        <w:rPr>
          <w:rFonts w:ascii="Arial" w:hAnsi="Arial"/>
        </w:rPr>
        <w:t>5</w:t>
      </w:r>
      <w:r>
        <w:rPr>
          <w:rFonts w:ascii="Arial" w:hAnsi="Arial"/>
          <w:lang w:val="es-MX"/>
        </w:rPr>
        <w:t>;</w:t>
      </w:r>
    </w:p>
    <w:p w:rsidR="00647CF0" w:rsidRDefault="00647CF0" w:rsidP="00E215ED">
      <w:pPr>
        <w:tabs>
          <w:tab w:val="left" w:pos="142"/>
        </w:tabs>
        <w:spacing w:line="360" w:lineRule="auto"/>
        <w:jc w:val="both"/>
        <w:rPr>
          <w:rFonts w:ascii="Arial" w:hAnsi="Arial"/>
          <w:lang w:val="es-MX"/>
        </w:rPr>
      </w:pPr>
      <w:r w:rsidRPr="005A5590">
        <w:rPr>
          <w:rFonts w:ascii="Arial" w:hAnsi="Arial"/>
          <w:b/>
          <w:lang w:val="es-MX"/>
        </w:rPr>
        <w:t>2)</w:t>
      </w:r>
      <w:r>
        <w:rPr>
          <w:rFonts w:ascii="Arial" w:hAnsi="Arial"/>
          <w:lang w:val="es-MX"/>
        </w:rPr>
        <w:t xml:space="preserve"> Comunicar a la Administración actuante</w:t>
      </w:r>
      <w:r w:rsidR="00E215ED">
        <w:rPr>
          <w:rFonts w:ascii="Arial" w:hAnsi="Arial"/>
          <w:lang w:val="es-MX"/>
        </w:rPr>
        <w:t>; y</w:t>
      </w:r>
    </w:p>
    <w:p w:rsidR="00E215ED" w:rsidRPr="00B70AF3" w:rsidRDefault="00E215ED" w:rsidP="00E215ED">
      <w:pPr>
        <w:tabs>
          <w:tab w:val="left" w:pos="142"/>
        </w:tabs>
        <w:spacing w:line="360" w:lineRule="auto"/>
        <w:jc w:val="both"/>
        <w:rPr>
          <w:rFonts w:ascii="Arial" w:hAnsi="Arial"/>
        </w:rPr>
      </w:pPr>
      <w:r w:rsidRPr="00E215ED">
        <w:rPr>
          <w:rFonts w:ascii="Arial" w:hAnsi="Arial"/>
          <w:b/>
          <w:lang w:val="es-MX"/>
        </w:rPr>
        <w:t>3)</w:t>
      </w:r>
      <w:r>
        <w:rPr>
          <w:rFonts w:ascii="Arial" w:hAnsi="Arial"/>
          <w:b/>
          <w:lang w:val="es-MX"/>
        </w:rPr>
        <w:t xml:space="preserve"> </w:t>
      </w:r>
      <w:r w:rsidRPr="00B70AF3">
        <w:rPr>
          <w:rFonts w:ascii="Arial" w:hAnsi="Arial"/>
          <w:lang w:val="es-MX"/>
        </w:rPr>
        <w:t>Dar cuenta a la Asamblea G</w:t>
      </w:r>
      <w:r w:rsidR="00B70AF3" w:rsidRPr="00B70AF3">
        <w:rPr>
          <w:rFonts w:ascii="Arial" w:hAnsi="Arial"/>
          <w:lang w:val="es-MX"/>
        </w:rPr>
        <w:t>eneral.</w:t>
      </w:r>
    </w:p>
    <w:p w:rsidR="00B70AF3" w:rsidRDefault="00B70AF3" w:rsidP="00B70AF3">
      <w:pPr>
        <w:spacing w:line="360" w:lineRule="auto"/>
        <w:rPr>
          <w:rFonts w:ascii="Arial" w:hAnsi="Arial"/>
          <w:lang w:val="es-MX"/>
        </w:rPr>
      </w:pPr>
      <w:proofErr w:type="spellStart"/>
      <w:proofErr w:type="gramStart"/>
      <w:r>
        <w:rPr>
          <w:rFonts w:ascii="Arial" w:hAnsi="Arial"/>
          <w:lang w:val="es-MX"/>
        </w:rPr>
        <w:t>cr</w:t>
      </w:r>
      <w:proofErr w:type="spellEnd"/>
      <w:proofErr w:type="gramEnd"/>
    </w:p>
    <w:sectPr w:rsidR="00B70AF3" w:rsidSect="00B83C30">
      <w:headerReference w:type="even" r:id="rId7"/>
      <w:headerReference w:type="default" r:id="rId8"/>
      <w:footerReference w:type="even" r:id="rId9"/>
      <w:footerReference w:type="default" r:id="rId10"/>
      <w:pgSz w:w="11906" w:h="16838"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CA" w:rsidRDefault="00B70AF3">
      <w:r>
        <w:separator/>
      </w:r>
    </w:p>
  </w:endnote>
  <w:endnote w:type="continuationSeparator" w:id="0">
    <w:p w:rsidR="000337CA" w:rsidRDefault="00B7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7E" w:rsidRDefault="006A7A4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017E" w:rsidRDefault="00BE6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7E" w:rsidRDefault="006A7A4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698B">
      <w:rPr>
        <w:rStyle w:val="Nmerodepgina"/>
        <w:noProof/>
      </w:rPr>
      <w:t>1</w:t>
    </w:r>
    <w:r>
      <w:rPr>
        <w:rStyle w:val="Nmerodepgina"/>
      </w:rPr>
      <w:fldChar w:fldCharType="end"/>
    </w:r>
  </w:p>
  <w:p w:rsidR="00A0017E" w:rsidRDefault="00BE6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CA" w:rsidRDefault="00B70AF3">
      <w:r>
        <w:separator/>
      </w:r>
    </w:p>
  </w:footnote>
  <w:footnote w:type="continuationSeparator" w:id="0">
    <w:p w:rsidR="000337CA" w:rsidRDefault="00B70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7E" w:rsidRDefault="006A7A4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A0017E" w:rsidRDefault="00BE698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7E" w:rsidRDefault="00BE698B">
    <w:pPr>
      <w:pStyle w:val="Encabezado"/>
      <w:framePr w:wrap="around" w:vAnchor="text" w:hAnchor="margin" w:xAlign="right" w:y="1"/>
      <w:rPr>
        <w:rStyle w:val="Nmerodepgina"/>
      </w:rPr>
    </w:pPr>
  </w:p>
  <w:p w:rsidR="00A0017E" w:rsidRDefault="00BE698B">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F0"/>
    <w:rsid w:val="000337CA"/>
    <w:rsid w:val="00523552"/>
    <w:rsid w:val="00647CF0"/>
    <w:rsid w:val="006A7A41"/>
    <w:rsid w:val="007D70BE"/>
    <w:rsid w:val="00B70AF3"/>
    <w:rsid w:val="00B83C30"/>
    <w:rsid w:val="00BE698B"/>
    <w:rsid w:val="00D840A3"/>
    <w:rsid w:val="00E21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F0"/>
    <w:pPr>
      <w:spacing w:after="0" w:line="240" w:lineRule="auto"/>
    </w:pPr>
    <w:rPr>
      <w:rFonts w:ascii="Times New Roman" w:eastAsia="Times New Roman" w:hAnsi="Times New Roman" w:cs="Times New Roman"/>
      <w:sz w:val="24"/>
      <w:szCs w:val="20"/>
      <w:lang w:eastAsia="es-ES"/>
    </w:rPr>
  </w:style>
  <w:style w:type="paragraph" w:styleId="Ttulo2">
    <w:name w:val="heading 2"/>
    <w:basedOn w:val="Normal"/>
    <w:next w:val="Normal"/>
    <w:link w:val="Ttulo2Car"/>
    <w:qFormat/>
    <w:rsid w:val="00647CF0"/>
    <w:pPr>
      <w:keepNext/>
      <w:spacing w:line="360" w:lineRule="auto"/>
      <w:ind w:firstLine="708"/>
      <w:jc w:val="center"/>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47CF0"/>
    <w:rPr>
      <w:rFonts w:ascii="Arial" w:eastAsia="Times New Roman" w:hAnsi="Arial" w:cs="Times New Roman"/>
      <w:b/>
      <w:sz w:val="24"/>
      <w:szCs w:val="20"/>
      <w:lang w:eastAsia="es-ES"/>
    </w:rPr>
  </w:style>
  <w:style w:type="paragraph" w:styleId="Encabezado">
    <w:name w:val="header"/>
    <w:basedOn w:val="Normal"/>
    <w:link w:val="EncabezadoCar"/>
    <w:semiHidden/>
    <w:rsid w:val="00647CF0"/>
    <w:pPr>
      <w:tabs>
        <w:tab w:val="center" w:pos="4252"/>
        <w:tab w:val="right" w:pos="8504"/>
      </w:tabs>
    </w:pPr>
  </w:style>
  <w:style w:type="character" w:customStyle="1" w:styleId="EncabezadoCar">
    <w:name w:val="Encabezado Car"/>
    <w:basedOn w:val="Fuentedeprrafopredeter"/>
    <w:link w:val="Encabezado"/>
    <w:semiHidden/>
    <w:rsid w:val="00647CF0"/>
    <w:rPr>
      <w:rFonts w:ascii="Times New Roman" w:eastAsia="Times New Roman" w:hAnsi="Times New Roman" w:cs="Times New Roman"/>
      <w:sz w:val="24"/>
      <w:szCs w:val="20"/>
      <w:lang w:eastAsia="es-ES"/>
    </w:rPr>
  </w:style>
  <w:style w:type="character" w:styleId="Nmerodepgina">
    <w:name w:val="page number"/>
    <w:basedOn w:val="Fuentedeprrafopredeter"/>
    <w:semiHidden/>
    <w:rsid w:val="00647CF0"/>
  </w:style>
  <w:style w:type="paragraph" w:styleId="Piedepgina">
    <w:name w:val="footer"/>
    <w:basedOn w:val="Normal"/>
    <w:link w:val="PiedepginaCar"/>
    <w:semiHidden/>
    <w:rsid w:val="00647CF0"/>
    <w:pPr>
      <w:tabs>
        <w:tab w:val="center" w:pos="4252"/>
        <w:tab w:val="right" w:pos="8504"/>
      </w:tabs>
    </w:pPr>
  </w:style>
  <w:style w:type="character" w:customStyle="1" w:styleId="PiedepginaCar">
    <w:name w:val="Pie de página Car"/>
    <w:basedOn w:val="Fuentedeprrafopredeter"/>
    <w:link w:val="Piedepgina"/>
    <w:semiHidden/>
    <w:rsid w:val="00647CF0"/>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semiHidden/>
    <w:rsid w:val="00647CF0"/>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647CF0"/>
    <w:rPr>
      <w:rFonts w:ascii="Arial" w:eastAsia="Times New Roman" w:hAnsi="Arial" w:cs="Arial"/>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F0"/>
    <w:pPr>
      <w:spacing w:after="0" w:line="240" w:lineRule="auto"/>
    </w:pPr>
    <w:rPr>
      <w:rFonts w:ascii="Times New Roman" w:eastAsia="Times New Roman" w:hAnsi="Times New Roman" w:cs="Times New Roman"/>
      <w:sz w:val="24"/>
      <w:szCs w:val="20"/>
      <w:lang w:eastAsia="es-ES"/>
    </w:rPr>
  </w:style>
  <w:style w:type="paragraph" w:styleId="Ttulo2">
    <w:name w:val="heading 2"/>
    <w:basedOn w:val="Normal"/>
    <w:next w:val="Normal"/>
    <w:link w:val="Ttulo2Car"/>
    <w:qFormat/>
    <w:rsid w:val="00647CF0"/>
    <w:pPr>
      <w:keepNext/>
      <w:spacing w:line="360" w:lineRule="auto"/>
      <w:ind w:firstLine="708"/>
      <w:jc w:val="center"/>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47CF0"/>
    <w:rPr>
      <w:rFonts w:ascii="Arial" w:eastAsia="Times New Roman" w:hAnsi="Arial" w:cs="Times New Roman"/>
      <w:b/>
      <w:sz w:val="24"/>
      <w:szCs w:val="20"/>
      <w:lang w:eastAsia="es-ES"/>
    </w:rPr>
  </w:style>
  <w:style w:type="paragraph" w:styleId="Encabezado">
    <w:name w:val="header"/>
    <w:basedOn w:val="Normal"/>
    <w:link w:val="EncabezadoCar"/>
    <w:semiHidden/>
    <w:rsid w:val="00647CF0"/>
    <w:pPr>
      <w:tabs>
        <w:tab w:val="center" w:pos="4252"/>
        <w:tab w:val="right" w:pos="8504"/>
      </w:tabs>
    </w:pPr>
  </w:style>
  <w:style w:type="character" w:customStyle="1" w:styleId="EncabezadoCar">
    <w:name w:val="Encabezado Car"/>
    <w:basedOn w:val="Fuentedeprrafopredeter"/>
    <w:link w:val="Encabezado"/>
    <w:semiHidden/>
    <w:rsid w:val="00647CF0"/>
    <w:rPr>
      <w:rFonts w:ascii="Times New Roman" w:eastAsia="Times New Roman" w:hAnsi="Times New Roman" w:cs="Times New Roman"/>
      <w:sz w:val="24"/>
      <w:szCs w:val="20"/>
      <w:lang w:eastAsia="es-ES"/>
    </w:rPr>
  </w:style>
  <w:style w:type="character" w:styleId="Nmerodepgina">
    <w:name w:val="page number"/>
    <w:basedOn w:val="Fuentedeprrafopredeter"/>
    <w:semiHidden/>
    <w:rsid w:val="00647CF0"/>
  </w:style>
  <w:style w:type="paragraph" w:styleId="Piedepgina">
    <w:name w:val="footer"/>
    <w:basedOn w:val="Normal"/>
    <w:link w:val="PiedepginaCar"/>
    <w:semiHidden/>
    <w:rsid w:val="00647CF0"/>
    <w:pPr>
      <w:tabs>
        <w:tab w:val="center" w:pos="4252"/>
        <w:tab w:val="right" w:pos="8504"/>
      </w:tabs>
    </w:pPr>
  </w:style>
  <w:style w:type="character" w:customStyle="1" w:styleId="PiedepginaCar">
    <w:name w:val="Pie de página Car"/>
    <w:basedOn w:val="Fuentedeprrafopredeter"/>
    <w:link w:val="Piedepgina"/>
    <w:semiHidden/>
    <w:rsid w:val="00647CF0"/>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semiHidden/>
    <w:rsid w:val="00647CF0"/>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semiHidden/>
    <w:rsid w:val="00647CF0"/>
    <w:rPr>
      <w:rFonts w:ascii="Arial" w:eastAsia="Times New Roman" w:hAnsi="Arial" w:cs="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MUCCINELLI</dc:creator>
  <cp:keywords/>
  <dc:description/>
  <cp:lastModifiedBy> </cp:lastModifiedBy>
  <cp:revision>4</cp:revision>
  <cp:lastPrinted>2015-07-16T16:39:00Z</cp:lastPrinted>
  <dcterms:created xsi:type="dcterms:W3CDTF">2015-07-16T16:40:00Z</dcterms:created>
  <dcterms:modified xsi:type="dcterms:W3CDTF">2015-08-07T20:20:00Z</dcterms:modified>
</cp:coreProperties>
</file>