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D9" w:rsidRPr="00A74A2C" w:rsidRDefault="004A32D9" w:rsidP="00A74A2C">
      <w:pPr>
        <w:keepNext/>
        <w:tabs>
          <w:tab w:val="center" w:pos="4253"/>
        </w:tabs>
        <w:spacing w:after="0" w:line="480" w:lineRule="auto"/>
        <w:jc w:val="center"/>
        <w:rPr>
          <w:rFonts w:ascii="Arial" w:hAnsi="Arial" w:cs="Arial"/>
          <w:b/>
          <w:sz w:val="24"/>
          <w:szCs w:val="24"/>
          <w:lang w:val="es-ES_tradnl"/>
        </w:rPr>
      </w:pPr>
      <w:bookmarkStart w:id="0" w:name="_GoBack"/>
      <w:bookmarkEnd w:id="0"/>
      <w:r w:rsidRPr="00A74A2C">
        <w:rPr>
          <w:rFonts w:ascii="Arial" w:hAnsi="Arial" w:cs="Arial"/>
          <w:b/>
          <w:sz w:val="24"/>
          <w:szCs w:val="24"/>
          <w:lang w:val="es-ES_tradnl"/>
        </w:rPr>
        <w:t>RESOLUCION ADOPTADA POR EL</w:t>
      </w:r>
    </w:p>
    <w:p w:rsidR="004A32D9" w:rsidRPr="00A74A2C" w:rsidRDefault="004A32D9" w:rsidP="00A74A2C">
      <w:pPr>
        <w:keepNext/>
        <w:tabs>
          <w:tab w:val="center" w:pos="4253"/>
        </w:tabs>
        <w:spacing w:after="0" w:line="480" w:lineRule="auto"/>
        <w:jc w:val="center"/>
        <w:rPr>
          <w:rFonts w:ascii="Arial" w:hAnsi="Arial" w:cs="Arial"/>
          <w:b/>
          <w:sz w:val="24"/>
          <w:szCs w:val="24"/>
          <w:lang w:val="es-ES_tradnl"/>
        </w:rPr>
      </w:pPr>
      <w:r w:rsidRPr="00A74A2C">
        <w:rPr>
          <w:rFonts w:ascii="Arial" w:hAnsi="Arial" w:cs="Arial"/>
          <w:b/>
          <w:sz w:val="24"/>
          <w:szCs w:val="24"/>
          <w:lang w:val="es-ES_tradnl"/>
        </w:rPr>
        <w:t>TRIBUNAL DE CUENTAS</w:t>
      </w:r>
    </w:p>
    <w:p w:rsidR="004A32D9" w:rsidRPr="00A74A2C" w:rsidRDefault="004A32D9" w:rsidP="00A74A2C">
      <w:pPr>
        <w:keepNext/>
        <w:tabs>
          <w:tab w:val="center" w:pos="4253"/>
        </w:tabs>
        <w:spacing w:after="0" w:line="480" w:lineRule="auto"/>
        <w:jc w:val="center"/>
        <w:rPr>
          <w:rFonts w:ascii="Arial" w:hAnsi="Arial" w:cs="Arial"/>
          <w:b/>
          <w:sz w:val="24"/>
          <w:szCs w:val="24"/>
          <w:lang w:val="es-ES_tradnl"/>
        </w:rPr>
      </w:pPr>
      <w:r w:rsidRPr="00A74A2C">
        <w:rPr>
          <w:rFonts w:ascii="Arial" w:hAnsi="Arial" w:cs="Arial"/>
          <w:b/>
          <w:sz w:val="24"/>
          <w:szCs w:val="24"/>
          <w:lang w:val="es-ES_tradnl"/>
        </w:rPr>
        <w:t>EN SESION DE FECHA 24 DE JUNIO DE 2015</w:t>
      </w:r>
    </w:p>
    <w:p w:rsidR="004A32D9" w:rsidRDefault="004A32D9" w:rsidP="00A74A2C">
      <w:pPr>
        <w:keepNext/>
        <w:tabs>
          <w:tab w:val="center" w:pos="4253"/>
        </w:tabs>
        <w:spacing w:after="0" w:line="480" w:lineRule="auto"/>
        <w:jc w:val="center"/>
        <w:rPr>
          <w:rFonts w:ascii="Arial" w:hAnsi="Arial" w:cs="Arial"/>
          <w:b/>
          <w:sz w:val="24"/>
          <w:szCs w:val="24"/>
          <w:lang w:val="es-ES_tradnl"/>
        </w:rPr>
      </w:pPr>
      <w:r w:rsidRPr="00A74A2C">
        <w:rPr>
          <w:rFonts w:ascii="Arial" w:hAnsi="Arial" w:cs="Arial"/>
          <w:b/>
          <w:sz w:val="24"/>
          <w:szCs w:val="24"/>
          <w:lang w:val="es-ES_tradnl"/>
        </w:rPr>
        <w:t>(</w:t>
      </w:r>
      <w:r w:rsidR="0066546B" w:rsidRPr="00A74A2C">
        <w:rPr>
          <w:rFonts w:ascii="Arial" w:hAnsi="Arial" w:cs="Arial"/>
          <w:b/>
          <w:sz w:val="24"/>
          <w:szCs w:val="24"/>
          <w:lang w:val="es-ES_tradnl"/>
        </w:rPr>
        <w:t>E.E</w:t>
      </w:r>
      <w:r w:rsidRPr="00A74A2C">
        <w:rPr>
          <w:rFonts w:ascii="Arial" w:hAnsi="Arial" w:cs="Arial"/>
          <w:b/>
          <w:sz w:val="24"/>
          <w:szCs w:val="24"/>
          <w:lang w:val="es-ES_tradnl"/>
        </w:rPr>
        <w:t xml:space="preserve"> Nº 2014-17-1-0004678, E.</w:t>
      </w:r>
      <w:r w:rsidR="00A74A2C">
        <w:rPr>
          <w:rFonts w:ascii="Arial" w:hAnsi="Arial" w:cs="Arial"/>
          <w:b/>
          <w:sz w:val="24"/>
          <w:szCs w:val="24"/>
          <w:lang w:val="es-ES_tradnl"/>
        </w:rPr>
        <w:t xml:space="preserve"> </w:t>
      </w:r>
      <w:r w:rsidRPr="00A74A2C">
        <w:rPr>
          <w:rFonts w:ascii="Arial" w:hAnsi="Arial" w:cs="Arial"/>
          <w:b/>
          <w:sz w:val="24"/>
          <w:szCs w:val="24"/>
          <w:lang w:val="es-ES_tradnl"/>
        </w:rPr>
        <w:t>3566/</w:t>
      </w:r>
      <w:r w:rsidR="00431683" w:rsidRPr="00A74A2C">
        <w:rPr>
          <w:rFonts w:ascii="Arial" w:hAnsi="Arial" w:cs="Arial"/>
          <w:b/>
          <w:sz w:val="24"/>
          <w:szCs w:val="24"/>
          <w:lang w:val="es-ES_tradnl"/>
        </w:rPr>
        <w:t>14</w:t>
      </w:r>
      <w:r w:rsidRPr="00A74A2C">
        <w:rPr>
          <w:rFonts w:ascii="Arial" w:hAnsi="Arial" w:cs="Arial"/>
          <w:b/>
          <w:sz w:val="24"/>
          <w:szCs w:val="24"/>
          <w:lang w:val="es-ES_tradnl"/>
        </w:rPr>
        <w:t>)</w:t>
      </w:r>
    </w:p>
    <w:p w:rsidR="009A7866" w:rsidRPr="00A74A2C" w:rsidRDefault="009A7866" w:rsidP="00A74A2C">
      <w:pPr>
        <w:keepNext/>
        <w:tabs>
          <w:tab w:val="center" w:pos="4253"/>
        </w:tabs>
        <w:spacing w:after="0" w:line="480" w:lineRule="auto"/>
        <w:jc w:val="center"/>
        <w:rPr>
          <w:rFonts w:ascii="Arial" w:hAnsi="Arial" w:cs="Arial"/>
          <w:b/>
          <w:sz w:val="24"/>
          <w:szCs w:val="24"/>
          <w:lang w:val="es-ES_tradnl"/>
        </w:rPr>
      </w:pPr>
    </w:p>
    <w:p w:rsidR="004A32D9" w:rsidRPr="00A74A2C" w:rsidRDefault="004A32D9" w:rsidP="009A7866">
      <w:pPr>
        <w:keepNext/>
        <w:spacing w:line="360" w:lineRule="auto"/>
        <w:ind w:firstLine="851"/>
        <w:jc w:val="both"/>
        <w:rPr>
          <w:rFonts w:ascii="Arial" w:hAnsi="Arial" w:cs="Arial"/>
          <w:sz w:val="24"/>
          <w:szCs w:val="24"/>
        </w:rPr>
      </w:pPr>
      <w:r w:rsidRPr="00A74A2C">
        <w:rPr>
          <w:rFonts w:ascii="Arial" w:hAnsi="Arial" w:cs="Arial"/>
          <w:b/>
          <w:sz w:val="24"/>
          <w:szCs w:val="24"/>
        </w:rPr>
        <w:t>VISTO:</w:t>
      </w:r>
      <w:r w:rsidRPr="00A74A2C">
        <w:rPr>
          <w:rFonts w:ascii="Arial" w:hAnsi="Arial" w:cs="Arial"/>
          <w:sz w:val="24"/>
          <w:szCs w:val="24"/>
        </w:rPr>
        <w:t xml:space="preserve"> que este Tribunal ha examinado el Balance de Ejecución Presupuestal del Instituto del Niño y Adolescente del Uruguay (INAU) correspondiente al Ejercicio finalizado el 31 de  diciembre de 2013;</w:t>
      </w:r>
    </w:p>
    <w:p w:rsidR="004A32D9" w:rsidRPr="00A74A2C" w:rsidRDefault="004A32D9" w:rsidP="009A7866">
      <w:pPr>
        <w:keepNext/>
        <w:spacing w:line="360" w:lineRule="auto"/>
        <w:ind w:firstLine="851"/>
        <w:jc w:val="both"/>
        <w:rPr>
          <w:rFonts w:ascii="Arial" w:hAnsi="Arial" w:cs="Arial"/>
          <w:sz w:val="24"/>
          <w:szCs w:val="24"/>
        </w:rPr>
      </w:pPr>
      <w:r w:rsidRPr="00A74A2C">
        <w:rPr>
          <w:rFonts w:ascii="Arial" w:hAnsi="Arial" w:cs="Arial"/>
          <w:b/>
          <w:sz w:val="24"/>
          <w:szCs w:val="24"/>
        </w:rPr>
        <w:t>RESULTANDO:</w:t>
      </w:r>
      <w:r w:rsidRPr="00A74A2C">
        <w:rPr>
          <w:rFonts w:ascii="Arial" w:hAnsi="Arial" w:cs="Arial"/>
          <w:sz w:val="24"/>
          <w:szCs w:val="24"/>
        </w:rPr>
        <w:t xml:space="preserve"> que el examen fue realizado de acuerdo con los Principios Fundamentales de Auditoría (ISSAI 100, 200) de la Organización Internacional de Entidades Fisca</w:t>
      </w:r>
      <w:r w:rsidR="009A7866">
        <w:rPr>
          <w:rFonts w:ascii="Arial" w:hAnsi="Arial" w:cs="Arial"/>
          <w:sz w:val="24"/>
          <w:szCs w:val="24"/>
        </w:rPr>
        <w:t>lizadoras Superiores (INTOSAI);</w:t>
      </w:r>
    </w:p>
    <w:p w:rsidR="004A32D9" w:rsidRPr="00A74A2C" w:rsidRDefault="004A32D9" w:rsidP="009A7866">
      <w:pPr>
        <w:keepNext/>
        <w:spacing w:line="360" w:lineRule="auto"/>
        <w:ind w:firstLine="851"/>
        <w:jc w:val="both"/>
        <w:rPr>
          <w:rFonts w:ascii="Arial" w:hAnsi="Arial" w:cs="Arial"/>
          <w:sz w:val="24"/>
          <w:szCs w:val="24"/>
        </w:rPr>
      </w:pPr>
      <w:r w:rsidRPr="00A74A2C">
        <w:rPr>
          <w:rFonts w:ascii="Arial" w:hAnsi="Arial" w:cs="Arial"/>
          <w:b/>
          <w:sz w:val="24"/>
          <w:szCs w:val="24"/>
        </w:rPr>
        <w:t>CONSIDERANDO:</w:t>
      </w:r>
      <w:r w:rsidRPr="00A74A2C">
        <w:rPr>
          <w:rFonts w:ascii="Arial" w:hAnsi="Arial" w:cs="Arial"/>
          <w:sz w:val="24"/>
          <w:szCs w:val="24"/>
        </w:rPr>
        <w:t xml:space="preserve"> que las conclusiones y evidencias obtenidas son las que se expresan en el Informe de Auditoría que incluye el Dictamen</w:t>
      </w:r>
      <w:r w:rsidR="009A7866">
        <w:rPr>
          <w:rFonts w:ascii="Arial" w:hAnsi="Arial" w:cs="Arial"/>
          <w:sz w:val="24"/>
          <w:szCs w:val="24"/>
        </w:rPr>
        <w:t xml:space="preserve"> e Informe a la Administración;</w:t>
      </w:r>
    </w:p>
    <w:p w:rsidR="004A32D9" w:rsidRPr="00A74A2C" w:rsidRDefault="004A32D9" w:rsidP="009A7866">
      <w:pPr>
        <w:keepNext/>
        <w:spacing w:line="360" w:lineRule="auto"/>
        <w:ind w:firstLine="851"/>
        <w:jc w:val="both"/>
        <w:rPr>
          <w:rFonts w:ascii="Arial" w:hAnsi="Arial" w:cs="Arial"/>
          <w:sz w:val="24"/>
          <w:szCs w:val="24"/>
        </w:rPr>
      </w:pPr>
      <w:r w:rsidRPr="00A74A2C">
        <w:rPr>
          <w:rFonts w:ascii="Arial" w:hAnsi="Arial" w:cs="Arial"/>
          <w:b/>
          <w:sz w:val="24"/>
          <w:szCs w:val="24"/>
        </w:rPr>
        <w:t>ATENTO:</w:t>
      </w:r>
      <w:r w:rsidRPr="00A74A2C">
        <w:rPr>
          <w:rFonts w:ascii="Arial" w:hAnsi="Arial" w:cs="Arial"/>
          <w:sz w:val="24"/>
          <w:szCs w:val="24"/>
        </w:rPr>
        <w:t xml:space="preserve"> a lo dispuesto en Articulo 211 Literales C) y E) de l</w:t>
      </w:r>
      <w:r w:rsidR="009A7866">
        <w:rPr>
          <w:rFonts w:ascii="Arial" w:hAnsi="Arial" w:cs="Arial"/>
          <w:sz w:val="24"/>
          <w:szCs w:val="24"/>
        </w:rPr>
        <w:t>a Constitución de la República;</w:t>
      </w:r>
    </w:p>
    <w:p w:rsidR="004A32D9" w:rsidRPr="00A74A2C" w:rsidRDefault="004A32D9" w:rsidP="009A7866">
      <w:pPr>
        <w:keepNext/>
        <w:spacing w:line="240" w:lineRule="auto"/>
        <w:jc w:val="center"/>
        <w:rPr>
          <w:rFonts w:ascii="Arial" w:hAnsi="Arial" w:cs="Arial"/>
          <w:b/>
          <w:sz w:val="24"/>
          <w:szCs w:val="24"/>
        </w:rPr>
      </w:pPr>
      <w:r w:rsidRPr="00A74A2C">
        <w:rPr>
          <w:rFonts w:ascii="Arial" w:hAnsi="Arial" w:cs="Arial"/>
          <w:b/>
          <w:sz w:val="24"/>
          <w:szCs w:val="24"/>
        </w:rPr>
        <w:t>EL TRIBUNAL ACUERDA</w:t>
      </w:r>
    </w:p>
    <w:p w:rsidR="004A32D9" w:rsidRPr="00A74A2C" w:rsidRDefault="004A32D9" w:rsidP="009A7866">
      <w:pPr>
        <w:keepNext/>
        <w:spacing w:line="240" w:lineRule="auto"/>
        <w:jc w:val="both"/>
        <w:rPr>
          <w:rFonts w:ascii="Arial" w:hAnsi="Arial" w:cs="Arial"/>
          <w:sz w:val="24"/>
          <w:szCs w:val="24"/>
        </w:rPr>
      </w:pPr>
      <w:r w:rsidRPr="00A73D59">
        <w:rPr>
          <w:rFonts w:ascii="Arial" w:hAnsi="Arial" w:cs="Arial"/>
          <w:b/>
          <w:sz w:val="24"/>
          <w:szCs w:val="24"/>
        </w:rPr>
        <w:t>1)</w:t>
      </w:r>
      <w:r w:rsidR="00431683" w:rsidRPr="00A74A2C">
        <w:rPr>
          <w:rFonts w:ascii="Arial" w:hAnsi="Arial" w:cs="Arial"/>
          <w:sz w:val="24"/>
          <w:szCs w:val="24"/>
        </w:rPr>
        <w:t xml:space="preserve"> </w:t>
      </w:r>
      <w:r w:rsidRPr="00A74A2C">
        <w:rPr>
          <w:rFonts w:ascii="Arial" w:hAnsi="Arial" w:cs="Arial"/>
          <w:sz w:val="24"/>
          <w:szCs w:val="24"/>
        </w:rPr>
        <w:t>Expedirse en los términos del Informe de Auditoria que se adjunta;</w:t>
      </w:r>
    </w:p>
    <w:p w:rsidR="004A32D9" w:rsidRPr="00A74A2C" w:rsidRDefault="004A32D9" w:rsidP="009A7866">
      <w:pPr>
        <w:keepNext/>
        <w:spacing w:line="360" w:lineRule="auto"/>
        <w:ind w:left="284" w:hanging="284"/>
        <w:jc w:val="both"/>
        <w:rPr>
          <w:rFonts w:ascii="Arial" w:hAnsi="Arial" w:cs="Arial"/>
          <w:sz w:val="24"/>
          <w:szCs w:val="24"/>
        </w:rPr>
      </w:pPr>
      <w:r w:rsidRPr="00A73D59">
        <w:rPr>
          <w:rFonts w:ascii="Arial" w:hAnsi="Arial" w:cs="Arial"/>
          <w:b/>
          <w:sz w:val="24"/>
          <w:szCs w:val="24"/>
        </w:rPr>
        <w:t>2)</w:t>
      </w:r>
      <w:r w:rsidR="00431683" w:rsidRPr="00A73D59">
        <w:rPr>
          <w:rFonts w:ascii="Arial" w:hAnsi="Arial" w:cs="Arial"/>
          <w:b/>
          <w:sz w:val="24"/>
          <w:szCs w:val="24"/>
        </w:rPr>
        <w:t xml:space="preserve"> </w:t>
      </w:r>
      <w:r w:rsidRPr="00A74A2C">
        <w:rPr>
          <w:rFonts w:ascii="Arial" w:hAnsi="Arial" w:cs="Arial"/>
          <w:sz w:val="24"/>
          <w:szCs w:val="24"/>
        </w:rPr>
        <w:t>Comunicar al Directorio del Instituto del Niño y Ad</w:t>
      </w:r>
      <w:r w:rsidR="009A7866">
        <w:rPr>
          <w:rFonts w:ascii="Arial" w:hAnsi="Arial" w:cs="Arial"/>
          <w:sz w:val="24"/>
          <w:szCs w:val="24"/>
        </w:rPr>
        <w:t>olescente del Uruguay (INAU);</w:t>
      </w:r>
    </w:p>
    <w:p w:rsidR="004621AC" w:rsidRDefault="004A32D9" w:rsidP="009A7866">
      <w:pPr>
        <w:keepNext/>
        <w:spacing w:line="240" w:lineRule="auto"/>
        <w:jc w:val="both"/>
        <w:rPr>
          <w:rFonts w:ascii="Arial" w:hAnsi="Arial" w:cs="Arial"/>
          <w:sz w:val="24"/>
          <w:szCs w:val="24"/>
        </w:rPr>
      </w:pPr>
      <w:r w:rsidRPr="00A73D59">
        <w:rPr>
          <w:rFonts w:ascii="Arial" w:hAnsi="Arial" w:cs="Arial"/>
          <w:b/>
          <w:sz w:val="24"/>
          <w:szCs w:val="24"/>
        </w:rPr>
        <w:t>3)</w:t>
      </w:r>
      <w:r w:rsidR="00431683" w:rsidRPr="00A74A2C">
        <w:rPr>
          <w:rFonts w:ascii="Arial" w:hAnsi="Arial" w:cs="Arial"/>
          <w:sz w:val="24"/>
          <w:szCs w:val="24"/>
        </w:rPr>
        <w:t xml:space="preserve"> </w:t>
      </w:r>
      <w:r w:rsidRPr="00A74A2C">
        <w:rPr>
          <w:rFonts w:ascii="Arial" w:hAnsi="Arial" w:cs="Arial"/>
          <w:sz w:val="24"/>
          <w:szCs w:val="24"/>
        </w:rPr>
        <w:t>Dar cuenta a la Asamblea General</w:t>
      </w:r>
      <w:r w:rsidR="009A7866">
        <w:rPr>
          <w:rFonts w:ascii="Arial" w:hAnsi="Arial" w:cs="Arial"/>
          <w:sz w:val="24"/>
          <w:szCs w:val="24"/>
        </w:rPr>
        <w:t>.</w:t>
      </w:r>
    </w:p>
    <w:p w:rsidR="009A7866" w:rsidRDefault="009A7866" w:rsidP="009A7866">
      <w:pPr>
        <w:keepNext/>
        <w:spacing w:line="240" w:lineRule="auto"/>
        <w:jc w:val="both"/>
        <w:rPr>
          <w:rFonts w:ascii="Arial" w:hAnsi="Arial" w:cs="Arial"/>
          <w:sz w:val="24"/>
          <w:szCs w:val="24"/>
        </w:rPr>
      </w:pPr>
    </w:p>
    <w:p w:rsidR="009A7866" w:rsidRDefault="009A7866" w:rsidP="009A7866">
      <w:pPr>
        <w:keepNext/>
        <w:spacing w:line="240" w:lineRule="auto"/>
        <w:jc w:val="both"/>
        <w:rPr>
          <w:rFonts w:ascii="Arial" w:hAnsi="Arial" w:cs="Arial"/>
          <w:sz w:val="24"/>
          <w:szCs w:val="24"/>
        </w:rPr>
      </w:pPr>
    </w:p>
    <w:p w:rsidR="009A7866" w:rsidRDefault="009A7866" w:rsidP="009A7866">
      <w:pPr>
        <w:keepNext/>
        <w:spacing w:line="240" w:lineRule="auto"/>
        <w:jc w:val="both"/>
        <w:rPr>
          <w:rFonts w:ascii="Arial" w:hAnsi="Arial" w:cs="Arial"/>
          <w:sz w:val="24"/>
          <w:szCs w:val="24"/>
        </w:rPr>
      </w:pPr>
    </w:p>
    <w:p w:rsidR="009A7866" w:rsidRPr="00A74A2C" w:rsidRDefault="009A7866" w:rsidP="009A7866">
      <w:pPr>
        <w:keepNext/>
        <w:spacing w:line="240" w:lineRule="auto"/>
        <w:jc w:val="both"/>
        <w:rPr>
          <w:rFonts w:ascii="Arial" w:hAnsi="Arial" w:cs="Arial"/>
          <w:sz w:val="24"/>
          <w:szCs w:val="24"/>
        </w:rPr>
      </w:pPr>
    </w:p>
    <w:p w:rsidR="00A74A2C" w:rsidRPr="00A74A2C" w:rsidRDefault="00A74A2C" w:rsidP="00A74A2C">
      <w:pPr>
        <w:keepNext/>
        <w:spacing w:line="360" w:lineRule="auto"/>
        <w:jc w:val="center"/>
        <w:rPr>
          <w:rFonts w:ascii="Arial" w:hAnsi="Arial" w:cs="Arial"/>
          <w:b/>
          <w:sz w:val="24"/>
          <w:szCs w:val="24"/>
        </w:rPr>
      </w:pPr>
      <w:r w:rsidRPr="00A74A2C">
        <w:rPr>
          <w:rFonts w:ascii="Arial" w:hAnsi="Arial" w:cs="Arial"/>
          <w:b/>
          <w:sz w:val="24"/>
          <w:szCs w:val="24"/>
        </w:rPr>
        <w:t>DICTAMEN</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Tribunal de Cuentas ha examinado el Balance de Ejecución Presupuestal del Instituto del Niño y Adolescente del Uruguay (INAU), correspondiente al período 1º de enero al 31 de diciembre de 2013.</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También se presentan, en caso de corresponder, los incumplimientos legales constatados por el Tribunal de Cuentas en el curso de la auditoría efectuada.</w:t>
      </w:r>
    </w:p>
    <w:p w:rsidR="00A74A2C" w:rsidRPr="00A73D59" w:rsidRDefault="00A74A2C" w:rsidP="00A74A2C">
      <w:pPr>
        <w:keepNext/>
        <w:spacing w:line="360" w:lineRule="auto"/>
        <w:jc w:val="both"/>
        <w:rPr>
          <w:rFonts w:ascii="Arial" w:hAnsi="Arial" w:cs="Arial"/>
          <w:b/>
          <w:sz w:val="24"/>
          <w:szCs w:val="24"/>
        </w:rPr>
      </w:pPr>
      <w:r w:rsidRPr="00A73D59">
        <w:rPr>
          <w:rFonts w:ascii="Arial" w:hAnsi="Arial" w:cs="Arial"/>
          <w:b/>
          <w:sz w:val="24"/>
          <w:szCs w:val="24"/>
        </w:rPr>
        <w:t>Responsabilidad de la Direcc</w:t>
      </w:r>
      <w:r w:rsidR="00A73D59">
        <w:rPr>
          <w:rFonts w:ascii="Arial" w:hAnsi="Arial" w:cs="Arial"/>
          <w:b/>
          <w:sz w:val="24"/>
          <w:szCs w:val="24"/>
        </w:rPr>
        <w:t>ión por los estados financieros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 xml:space="preserve">La Dirección del INAU es responsable por la preparación y la razonable presentación de estos estados de acuerdo con las normas establecidas en el TOCAF y la ley aprobatoria del Presupuesto vigente. Esta responsabilidad incluye diseñar, implementar y mantener un sistema de control interno adecuado para la preparación y presentación razonable de estados financieros que están libres de errores significativos, así como seleccionar y aplicar </w:t>
      </w:r>
      <w:r w:rsidR="00A73D59">
        <w:rPr>
          <w:rFonts w:ascii="Arial" w:hAnsi="Arial" w:cs="Arial"/>
          <w:sz w:val="24"/>
          <w:szCs w:val="24"/>
        </w:rPr>
        <w:t>políticas contables apropiadas.</w:t>
      </w:r>
    </w:p>
    <w:p w:rsidR="00A74A2C" w:rsidRPr="00A73D59" w:rsidRDefault="00A73D59" w:rsidP="00A74A2C">
      <w:pPr>
        <w:keepNext/>
        <w:spacing w:line="360" w:lineRule="auto"/>
        <w:jc w:val="both"/>
        <w:rPr>
          <w:rFonts w:ascii="Arial" w:hAnsi="Arial" w:cs="Arial"/>
          <w:b/>
          <w:sz w:val="24"/>
          <w:szCs w:val="24"/>
        </w:rPr>
      </w:pPr>
      <w:r>
        <w:rPr>
          <w:rFonts w:ascii="Arial" w:hAnsi="Arial" w:cs="Arial"/>
          <w:b/>
          <w:sz w:val="24"/>
          <w:szCs w:val="24"/>
        </w:rPr>
        <w:t>Responsabilidad del auditor</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La responsabilidad del Tribunal de Cuentas es expresar una opinión sobre dicho Balance de Ejecución Presupuestal, basada en la auditoría realizada. El examen de auditoría fue realizado de acuerdo con los Principios Fundamentales de Auditoría (ISSAI 100 y 200) de la Organización Internacional de Entidades Fiscalizadoras Superiores (INTOSAI); las cuales requieren que se planifique y ejecuten procedimientos para obtener una evidencia acerca de los montos y las revelaciones contables e incluye procedimientos que dependen del juicio profesional para la evaluación de los riesgos de existencia de errores significativos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Dicho examen también implico evaluar lo apropiado de las políticas contables utilizadas y la presentación general de los estados financieros. Se considera que la evidencia de auditoría obtenida brinda una base suficiente y apropiada para sustentar la opinión.</w:t>
      </w:r>
    </w:p>
    <w:p w:rsidR="00A74A2C" w:rsidRPr="00A73D59" w:rsidRDefault="00A74A2C" w:rsidP="00A74A2C">
      <w:pPr>
        <w:keepNext/>
        <w:spacing w:line="360" w:lineRule="auto"/>
        <w:jc w:val="both"/>
        <w:rPr>
          <w:rFonts w:ascii="Arial" w:hAnsi="Arial" w:cs="Arial"/>
          <w:b/>
          <w:sz w:val="24"/>
          <w:szCs w:val="24"/>
        </w:rPr>
      </w:pPr>
      <w:r w:rsidRPr="00A73D59">
        <w:rPr>
          <w:rFonts w:ascii="Arial" w:hAnsi="Arial" w:cs="Arial"/>
          <w:b/>
          <w:sz w:val="24"/>
          <w:szCs w:val="24"/>
        </w:rPr>
        <w:t>Opinión</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En opinión del Tribunal de Cuentas el Balance de Ejecución Presupuestal presenta razonablemente en todos sus aspectos importantes, la ejecución presupuestal del INAU correspondiente al periodo 1 de enero al 31de diciembre de 2013.</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Con relación a las disposiciones legales y reglamentarias vigentes relacionadas con dicho Balance que fue objeto de examen en el transcurso de la auditoria y en aplicación de lo dispuesto por el Articulo 211 Literales C) y E) de la Constitución de la República, en opinión del Tribunal de Cuentas el INAU no se ha dado cumplimiento a las siguientes normas: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 49 de la Ley Nº 18.651, relativo al ingreso de personas con discapacidad.</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 84 del TOCAF, por no contar con un inventario de los bienes del Organismo.</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•Artículos 94 y 96 a 99 del TOCAF, dado que el Instituto no presenta los Estados Contables previstos en los artículos mencionados.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 16 del TOCAF dado que las transferencias a la Corporación Nacional para el Desarrollo, en cumplimiento del Fideicomiso de Administración se realizaron al objeto 271, cuando corresponde que se afectara los objetos de gastos específicos 500 a 599</w:t>
      </w:r>
      <w:r w:rsidR="00A73D59">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 8 de la Ley 10853 modificada por la Ley Nº 14106 Artículo 469- Impuesto a los bailes dado que continúan sin recibirse los ingresos por este concepto.</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•Artículo 164 de la Ley 16.713, no se incluyen en las bases de cálculo para determinar los aportes al BP</w:t>
      </w:r>
      <w:r w:rsidR="00A73D59">
        <w:rPr>
          <w:rFonts w:ascii="Arial" w:hAnsi="Arial" w:cs="Arial"/>
          <w:sz w:val="24"/>
          <w:szCs w:val="24"/>
        </w:rPr>
        <w:t>S las prestaciones de vivienda.</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•Liquidación de IRPF Ley 18.083 Decreto 148/07 Resolución DGI 662/007, el Instituto a efectos de la liquidación del IRPF no se computan las prestaciones de vivienda, los seguros que cuenta todo el personal del INAU, las prestaciones de alimentación ni los  vales de nafta y las partidas de transporte.</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•Incumplimiento del Decreto Nº 134/94 referente a las horas extras desempeñadas por los funcionarios y con el convenio 30 de la OIT</w:t>
      </w:r>
      <w:r w:rsidR="00DE1D7A">
        <w:rPr>
          <w:rFonts w:ascii="Arial" w:hAnsi="Arial" w:cs="Arial"/>
          <w:sz w:val="24"/>
          <w:szCs w:val="24"/>
        </w:rPr>
        <w:t>.</w:t>
      </w:r>
    </w:p>
    <w:p w:rsidR="00A74A2C" w:rsidRDefault="00A73D59" w:rsidP="00A74A2C">
      <w:pPr>
        <w:keepNext/>
        <w:spacing w:line="360" w:lineRule="auto"/>
        <w:jc w:val="right"/>
        <w:rPr>
          <w:rFonts w:ascii="Arial" w:hAnsi="Arial" w:cs="Arial"/>
          <w:sz w:val="24"/>
          <w:szCs w:val="24"/>
        </w:rPr>
      </w:pPr>
      <w:r>
        <w:rPr>
          <w:rFonts w:ascii="Arial" w:hAnsi="Arial" w:cs="Arial"/>
          <w:sz w:val="24"/>
          <w:szCs w:val="24"/>
        </w:rPr>
        <w:t>Montevideo, 29 de mayo de 2015</w:t>
      </w:r>
    </w:p>
    <w:p w:rsidR="00A74A2C" w:rsidRDefault="00A74A2C" w:rsidP="00A74A2C">
      <w:pPr>
        <w:keepNext/>
        <w:spacing w:line="360" w:lineRule="auto"/>
        <w:jc w:val="center"/>
        <w:rPr>
          <w:rFonts w:ascii="Arial" w:hAnsi="Arial" w:cs="Arial"/>
          <w:b/>
          <w:sz w:val="24"/>
          <w:szCs w:val="24"/>
        </w:rPr>
      </w:pPr>
      <w:r w:rsidRPr="00A74A2C">
        <w:rPr>
          <w:rFonts w:ascii="Arial" w:hAnsi="Arial" w:cs="Arial"/>
          <w:b/>
          <w:sz w:val="24"/>
          <w:szCs w:val="24"/>
        </w:rPr>
        <w:t>INFORME A LA ADMINISTRACIÒN</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Tribunal de Cuentas ha examinado el Balance de Ejecución Presupuestal del Instituto del Niño y Adolescente del Uruguay (INAU), correspondiente al período 1º de enero al 31 de diciembre de 2013 y ha emitido su Dictamen.</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En el presente informe se incluyen constataciones que se han entendido convenientes exponer de acuerdo al análisis practicado, recomendaciones que deberá atender el Organismo, así como la evaluación de las recomendaciones efectuadas en informes de ejercicios anteriores.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Se realizó una evaluación del sistema de control interno para establecer los procedimientos de auditoria que debían aplicarse como prueba de la eficacia de los controles implementados en relación con el objetivo de la auditoría practicada, y verificar el cumplimiento de las disposiciones presupue</w:t>
      </w:r>
      <w:r w:rsidR="00FE53D3">
        <w:rPr>
          <w:rFonts w:ascii="Arial" w:hAnsi="Arial" w:cs="Arial"/>
          <w:sz w:val="24"/>
          <w:szCs w:val="24"/>
        </w:rPr>
        <w:t>stales que resultan aplicables.</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1)</w:t>
      </w:r>
      <w:r w:rsidR="00FE53D3">
        <w:rPr>
          <w:rFonts w:ascii="Arial" w:hAnsi="Arial" w:cs="Arial"/>
          <w:b/>
          <w:sz w:val="24"/>
          <w:szCs w:val="24"/>
        </w:rPr>
        <w:t xml:space="preserve">      </w:t>
      </w:r>
      <w:r w:rsidRPr="00FE53D3">
        <w:rPr>
          <w:rFonts w:ascii="Arial" w:hAnsi="Arial" w:cs="Arial"/>
          <w:b/>
          <w:sz w:val="24"/>
          <w:szCs w:val="24"/>
        </w:rPr>
        <w:t>Constataciones del presente Ejercicio</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 xml:space="preserve">1.1 </w:t>
      </w:r>
      <w:r w:rsidR="00FE53D3">
        <w:rPr>
          <w:rFonts w:ascii="Arial" w:hAnsi="Arial" w:cs="Arial"/>
          <w:b/>
          <w:sz w:val="24"/>
          <w:szCs w:val="24"/>
        </w:rPr>
        <w:t xml:space="preserve">   </w:t>
      </w:r>
      <w:r w:rsidR="00B94D3D">
        <w:rPr>
          <w:rFonts w:ascii="Arial" w:hAnsi="Arial" w:cs="Arial"/>
          <w:b/>
          <w:sz w:val="24"/>
          <w:szCs w:val="24"/>
        </w:rPr>
        <w:t>Disponibilidades</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1.1.1 Conciliaciones Bancarias</w:t>
      </w:r>
    </w:p>
    <w:p w:rsid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Se concilian periódicamente las cuentas bancarias del Instituto,  constatándose que se incluyen partidas conciliatorias de difícil identificación dado que se efectúan depósitos por parte de terceros sin adjuntarse la documentación correspondiente. Esto ocasiona que existan partidas conciliatorias de larga data, las cuales en algunos casos superan el año de antigüedad.</w:t>
      </w:r>
    </w:p>
    <w:p w:rsidR="00A74A2C" w:rsidRPr="00FE53D3" w:rsidRDefault="00FE53D3" w:rsidP="00A74A2C">
      <w:pPr>
        <w:keepNext/>
        <w:spacing w:line="360" w:lineRule="auto"/>
        <w:jc w:val="both"/>
        <w:rPr>
          <w:rFonts w:ascii="Arial" w:hAnsi="Arial" w:cs="Arial"/>
          <w:b/>
          <w:sz w:val="24"/>
          <w:szCs w:val="24"/>
        </w:rPr>
      </w:pPr>
      <w:r>
        <w:rPr>
          <w:rFonts w:ascii="Arial" w:hAnsi="Arial" w:cs="Arial"/>
          <w:b/>
          <w:sz w:val="24"/>
          <w:szCs w:val="24"/>
        </w:rPr>
        <w:t>1.2 Bienes de Uso</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1.2.1 Administración de los Bienes e Inventarios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La encargada de la administración de los Bienes de Activo Fijo es la Inspección General, que no participa en el procedimiento de compra ni en la decisión sobre el destino de los bienes. Se realizan recuentos físicos por parte de dicha Unidad ante un cambio de Autoridades, una solicitud de baja o sorpresivamente; sin embargo no existe un cronograma preestablecido para la realización de los mismos.</w:t>
      </w:r>
    </w:p>
    <w:p w:rsid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Se mantiene un inventario en base a los mencionados recuentos, no obstante se constató que el mismo no se actualiza en forma sistemática. Al no tener un inventario general actualizado ni valuado se incumple con el artículo 84 del TOCAF.</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1.3 Incumplimientos Legales</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1.3.1</w:t>
      </w:r>
      <w:r w:rsidRPr="00FE53D3">
        <w:rPr>
          <w:rFonts w:ascii="Arial" w:hAnsi="Arial" w:cs="Arial"/>
          <w:b/>
          <w:sz w:val="24"/>
          <w:szCs w:val="24"/>
        </w:rPr>
        <w:tab/>
        <w:t>Artículo 49 Ley N° 18.651 - Ingreso de personas con discapacidad.</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Se constató que no se cumple con el artículo 49 de la Ley 18.651 sobre “Protección Integral de Personas con Discapacidad” del 19 de febrero de 2010 que dispone que los organismos del Estado y las Personas Jurídicas de Derecho Público no Estatal están obligadas a ocupar personas con discapacidad que reúnan condiciones de idoneidad para el cargo en una proporción mínima no inferior al 4% (cuatro por ciento) de sus vacantes. La  razón que se aduce es la dificultad para la elaboración de los concursos.</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2)</w:t>
      </w:r>
      <w:r w:rsidRPr="00FE53D3">
        <w:rPr>
          <w:rFonts w:ascii="Arial" w:hAnsi="Arial" w:cs="Arial"/>
          <w:b/>
          <w:sz w:val="24"/>
          <w:szCs w:val="24"/>
        </w:rPr>
        <w:tab/>
        <w:t>Situaciones constatadas en ejercicios anteriores que se mantienen en el presente</w:t>
      </w:r>
    </w:p>
    <w:p w:rsidR="00A74A2C" w:rsidRPr="00FE53D3" w:rsidRDefault="00FE53D3" w:rsidP="00A74A2C">
      <w:pPr>
        <w:keepNext/>
        <w:spacing w:line="360" w:lineRule="auto"/>
        <w:jc w:val="both"/>
        <w:rPr>
          <w:rFonts w:ascii="Arial" w:hAnsi="Arial" w:cs="Arial"/>
          <w:b/>
          <w:sz w:val="24"/>
          <w:szCs w:val="24"/>
        </w:rPr>
      </w:pPr>
      <w:r>
        <w:rPr>
          <w:rFonts w:ascii="Arial" w:hAnsi="Arial" w:cs="Arial"/>
          <w:b/>
          <w:sz w:val="24"/>
          <w:szCs w:val="24"/>
        </w:rPr>
        <w:t>2.1</w:t>
      </w:r>
      <w:r>
        <w:rPr>
          <w:rFonts w:ascii="Arial" w:hAnsi="Arial" w:cs="Arial"/>
          <w:b/>
          <w:sz w:val="24"/>
          <w:szCs w:val="24"/>
        </w:rPr>
        <w:tab/>
        <w:t>Artículos 96 a 99 del TOCAF</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Instituto no presenta los estados previstos en los artículos mencionados.</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2.2</w:t>
      </w:r>
      <w:r w:rsidRPr="00FE53D3">
        <w:rPr>
          <w:rFonts w:ascii="Arial" w:hAnsi="Arial" w:cs="Arial"/>
          <w:b/>
          <w:sz w:val="24"/>
          <w:szCs w:val="24"/>
        </w:rPr>
        <w:tab/>
        <w:t>Artículo 16 del TOCAF</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Las afectaciones de las transferencias a la Corporación Nacional para el Desarrollo, en cumplimiento del Fideicomiso de Administración se realizaron al objeto 271, cuando hubiere correspondido afectar los objetos de gastos específicos 500 a 599, incumpliéndose con lo dispuesto en el Artículo 16 del TOCAF.</w:t>
      </w:r>
    </w:p>
    <w:p w:rsidR="00A74A2C" w:rsidRPr="00FE53D3" w:rsidRDefault="00FE53D3" w:rsidP="00A74A2C">
      <w:pPr>
        <w:keepNext/>
        <w:spacing w:line="360" w:lineRule="auto"/>
        <w:jc w:val="both"/>
        <w:rPr>
          <w:rFonts w:ascii="Arial" w:hAnsi="Arial" w:cs="Arial"/>
          <w:b/>
          <w:sz w:val="24"/>
          <w:szCs w:val="24"/>
        </w:rPr>
      </w:pPr>
      <w:r>
        <w:rPr>
          <w:rFonts w:ascii="Arial" w:hAnsi="Arial" w:cs="Arial"/>
          <w:b/>
          <w:sz w:val="24"/>
          <w:szCs w:val="24"/>
        </w:rPr>
        <w:t>2.3</w:t>
      </w:r>
      <w:r>
        <w:rPr>
          <w:rFonts w:ascii="Arial" w:hAnsi="Arial" w:cs="Arial"/>
          <w:b/>
          <w:sz w:val="24"/>
          <w:szCs w:val="24"/>
        </w:rPr>
        <w:tab/>
        <w:t>Artículo 94 del TOCAF</w:t>
      </w:r>
    </w:p>
    <w:p w:rsid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INAU no presenta Estados Contables de acuerdo a lo establecido en el Art. 94 del TOCAF dado que el mismo no mantiene un sistema de contabilidad integrado de Información que lo permita.</w:t>
      </w:r>
    </w:p>
    <w:p w:rsidR="00A74A2C" w:rsidRPr="00FE53D3" w:rsidRDefault="00A74A2C" w:rsidP="00A74A2C">
      <w:pPr>
        <w:keepNext/>
        <w:spacing w:line="360" w:lineRule="auto"/>
        <w:jc w:val="both"/>
        <w:rPr>
          <w:rFonts w:ascii="Arial" w:hAnsi="Arial" w:cs="Arial"/>
          <w:b/>
          <w:sz w:val="24"/>
          <w:szCs w:val="24"/>
        </w:rPr>
      </w:pPr>
      <w:r w:rsidRPr="00FE53D3">
        <w:rPr>
          <w:rFonts w:ascii="Arial" w:hAnsi="Arial" w:cs="Arial"/>
          <w:b/>
          <w:sz w:val="24"/>
          <w:szCs w:val="24"/>
        </w:rPr>
        <w:t>2.4</w:t>
      </w:r>
      <w:r w:rsidRPr="00FE53D3">
        <w:rPr>
          <w:rFonts w:ascii="Arial" w:hAnsi="Arial" w:cs="Arial"/>
          <w:b/>
          <w:sz w:val="24"/>
          <w:szCs w:val="24"/>
        </w:rPr>
        <w:tab/>
        <w:t>Artículo 8 de la Ley 10853 modificada por la Ley Nº 14106 Artículo 469- Impuesto a los bailes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Se constató que se formó una Comisión a efectos de establecer procedimientos que permitan el cobro por parte de las Intendencias y la correspondiente versión al Organismo del “Impuesto a los Bailes”. Se constató que se enviaron oficios a las Intendencias Departamentales para dar cumplimiento al mencionado artículo habiendo recibido escasa respuesta por parte de las mismas. El informe final emitido por la Comisión propone una modificación del artículo 469 la cual pasó vía Directorio a la Dirección General a efectos de instrumentar lo recomendado, lo que no se ha efectivizado a la fecha.</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2.5</w:t>
      </w:r>
      <w:r w:rsidRPr="00D25242">
        <w:rPr>
          <w:rFonts w:ascii="Arial" w:hAnsi="Arial" w:cs="Arial"/>
          <w:b/>
          <w:sz w:val="24"/>
          <w:szCs w:val="24"/>
        </w:rPr>
        <w:tab/>
        <w:t>Artículo 164 de la Ley 16.713</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No se incluyen en las bases de cálculo para determinar los aportes al BPS por las prestaciones de vivienda, incumpliéndose con lo dispuesto en el mencionado  artículo.</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2.6</w:t>
      </w:r>
      <w:r w:rsidRPr="00D25242">
        <w:rPr>
          <w:rFonts w:ascii="Arial" w:hAnsi="Arial" w:cs="Arial"/>
          <w:b/>
          <w:sz w:val="24"/>
          <w:szCs w:val="24"/>
        </w:rPr>
        <w:tab/>
        <w:t>Liquidación de IRPF Ley 18.083 Decreto 148/07 Resolución DGI 662/007</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A efectos del cálculo del IRPF el Instituto no computa las prestaciones de vivienda, dado que no se dispone de un registro actualizado de cuales son aquellos funcionarios que reciben este beneficio. Tampoco se incluyen los seguros de vida del personal del INAU mientras  mantenga el vínculo laboral cuyo monto imponible anual asciende a U$S 2.500. Asimismo no se incluyen las prestaciones de alimentación ni los vales de nafta y las partidas de transporte.</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2.7</w:t>
      </w:r>
      <w:r w:rsidRPr="00D25242">
        <w:rPr>
          <w:rFonts w:ascii="Arial" w:hAnsi="Arial" w:cs="Arial"/>
          <w:b/>
          <w:sz w:val="24"/>
          <w:szCs w:val="24"/>
        </w:rPr>
        <w:tab/>
        <w:t>Incumplimiento del Decreto Nº 134/94 y con el convenio 30 de la OI</w:t>
      </w:r>
      <w:r w:rsidR="00D25242">
        <w:rPr>
          <w:rFonts w:ascii="Arial" w:hAnsi="Arial" w:cs="Arial"/>
          <w:b/>
          <w:sz w:val="24"/>
          <w:szCs w:val="24"/>
        </w:rPr>
        <w:t>T referente a las Horas Extras</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directorio del INAU autoriza un tope de horas extras a cada División o Servicio de acuerdo a las necesidades planteadas por el director correspondiente, estos topes en algunos casos superan ampliamente las 40 horas previstas en el decreto Nº 134/94 del 29/03/1994 y consecuentemente no se da cumplimiento al mencionado decreto.</w:t>
      </w:r>
    </w:p>
    <w:p w:rsidR="00A74A2C" w:rsidRPr="00A74A2C" w:rsidRDefault="00A74A2C" w:rsidP="00A74A2C">
      <w:pPr>
        <w:keepNext/>
        <w:spacing w:line="360" w:lineRule="auto"/>
        <w:jc w:val="both"/>
        <w:rPr>
          <w:rFonts w:ascii="Arial" w:hAnsi="Arial" w:cs="Arial"/>
          <w:sz w:val="24"/>
          <w:szCs w:val="24"/>
        </w:rPr>
      </w:pPr>
      <w:r w:rsidRPr="00A74A2C">
        <w:rPr>
          <w:rFonts w:ascii="Arial" w:hAnsi="Arial" w:cs="Arial"/>
          <w:sz w:val="24"/>
          <w:szCs w:val="24"/>
        </w:rPr>
        <w:t>El Instituto continúa sin gestionar la reglamentación del régimen especial de horas extras de acuerdo al convenio 30 de la OIT.</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 xml:space="preserve">3. </w:t>
      </w:r>
      <w:r w:rsidR="00D25242">
        <w:rPr>
          <w:rFonts w:ascii="Arial" w:hAnsi="Arial" w:cs="Arial"/>
          <w:b/>
          <w:sz w:val="24"/>
          <w:szCs w:val="24"/>
        </w:rPr>
        <w:t xml:space="preserve">  </w:t>
      </w:r>
      <w:r w:rsidRPr="00D25242">
        <w:rPr>
          <w:rFonts w:ascii="Arial" w:hAnsi="Arial" w:cs="Arial"/>
          <w:b/>
          <w:sz w:val="24"/>
          <w:szCs w:val="24"/>
        </w:rPr>
        <w:t>Recomendaciones</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3.1 Recomendaciones cumplidas de Ejercicios anteriores.</w:t>
      </w:r>
    </w:p>
    <w:p w:rsidR="00A74A2C" w:rsidRPr="00A74A2C" w:rsidRDefault="00A74A2C" w:rsidP="00A74A2C">
      <w:pPr>
        <w:keepNext/>
        <w:spacing w:line="360" w:lineRule="auto"/>
        <w:jc w:val="both"/>
        <w:rPr>
          <w:rFonts w:ascii="Arial" w:hAnsi="Arial" w:cs="Arial"/>
          <w:sz w:val="24"/>
          <w:szCs w:val="24"/>
        </w:rPr>
      </w:pPr>
      <w:r w:rsidRPr="00D25242">
        <w:rPr>
          <w:rFonts w:ascii="Arial" w:hAnsi="Arial" w:cs="Arial"/>
          <w:b/>
          <w:sz w:val="24"/>
          <w:szCs w:val="24"/>
        </w:rPr>
        <w:t>3.1.1</w:t>
      </w:r>
      <w:r w:rsidRPr="00A74A2C">
        <w:rPr>
          <w:rFonts w:ascii="Arial" w:hAnsi="Arial" w:cs="Arial"/>
          <w:sz w:val="24"/>
          <w:szCs w:val="24"/>
        </w:rPr>
        <w:tab/>
        <w:t xml:space="preserve">El Departamento de Ayudas Económicas dependiente de la División Atención Integral a la Familia, implementó documentos </w:t>
      </w:r>
      <w:proofErr w:type="spellStart"/>
      <w:r w:rsidRPr="00A74A2C">
        <w:rPr>
          <w:rFonts w:ascii="Arial" w:hAnsi="Arial" w:cs="Arial"/>
          <w:sz w:val="24"/>
          <w:szCs w:val="24"/>
        </w:rPr>
        <w:t>preimpresos</w:t>
      </w:r>
      <w:proofErr w:type="spellEnd"/>
      <w:r w:rsidRPr="00A74A2C">
        <w:rPr>
          <w:rFonts w:ascii="Arial" w:hAnsi="Arial" w:cs="Arial"/>
          <w:sz w:val="24"/>
          <w:szCs w:val="24"/>
        </w:rPr>
        <w:t xml:space="preserve"> y </w:t>
      </w:r>
      <w:proofErr w:type="spellStart"/>
      <w:r w:rsidRPr="00A74A2C">
        <w:rPr>
          <w:rFonts w:ascii="Arial" w:hAnsi="Arial" w:cs="Arial"/>
          <w:sz w:val="24"/>
          <w:szCs w:val="24"/>
        </w:rPr>
        <w:t>prenumeradas</w:t>
      </w:r>
      <w:proofErr w:type="spellEnd"/>
      <w:r w:rsidRPr="00A74A2C">
        <w:rPr>
          <w:rFonts w:ascii="Arial" w:hAnsi="Arial" w:cs="Arial"/>
          <w:sz w:val="24"/>
          <w:szCs w:val="24"/>
        </w:rPr>
        <w:t xml:space="preserve"> a efectos de documentar</w:t>
      </w:r>
      <w:r w:rsidR="00084B42">
        <w:rPr>
          <w:rFonts w:ascii="Arial" w:hAnsi="Arial" w:cs="Arial"/>
          <w:sz w:val="24"/>
          <w:szCs w:val="24"/>
        </w:rPr>
        <w:t xml:space="preserve"> los pagos de ayudas económicas.</w:t>
      </w:r>
    </w:p>
    <w:p w:rsidR="00A74A2C" w:rsidRPr="00D25242" w:rsidRDefault="00A74A2C" w:rsidP="00A74A2C">
      <w:pPr>
        <w:keepNext/>
        <w:spacing w:line="360" w:lineRule="auto"/>
        <w:jc w:val="both"/>
        <w:rPr>
          <w:rFonts w:ascii="Arial" w:hAnsi="Arial" w:cs="Arial"/>
          <w:b/>
          <w:sz w:val="24"/>
          <w:szCs w:val="24"/>
        </w:rPr>
      </w:pPr>
      <w:r w:rsidRPr="00D25242">
        <w:rPr>
          <w:rFonts w:ascii="Arial" w:hAnsi="Arial" w:cs="Arial"/>
          <w:b/>
          <w:sz w:val="24"/>
          <w:szCs w:val="24"/>
        </w:rPr>
        <w:t>3.2</w:t>
      </w:r>
      <w:r w:rsidRPr="00D25242">
        <w:rPr>
          <w:rFonts w:ascii="Arial" w:hAnsi="Arial" w:cs="Arial"/>
          <w:b/>
          <w:sz w:val="24"/>
          <w:szCs w:val="24"/>
        </w:rPr>
        <w:tab/>
        <w:t>Recomendaciones no cumplidas de Ejercicios anteriores.</w:t>
      </w:r>
    </w:p>
    <w:p w:rsidR="00A74A2C" w:rsidRPr="00A74A2C" w:rsidRDefault="00A74A2C" w:rsidP="00A74A2C">
      <w:pPr>
        <w:keepNext/>
        <w:spacing w:line="360" w:lineRule="auto"/>
        <w:jc w:val="both"/>
        <w:rPr>
          <w:rFonts w:ascii="Arial" w:hAnsi="Arial" w:cs="Arial"/>
          <w:sz w:val="24"/>
          <w:szCs w:val="24"/>
        </w:rPr>
      </w:pPr>
      <w:r w:rsidRPr="00D25242">
        <w:rPr>
          <w:rFonts w:ascii="Arial" w:hAnsi="Arial" w:cs="Arial"/>
          <w:b/>
          <w:sz w:val="24"/>
          <w:szCs w:val="24"/>
        </w:rPr>
        <w:t>3.2.1</w:t>
      </w:r>
      <w:r w:rsidRPr="00A74A2C">
        <w:rPr>
          <w:rFonts w:ascii="Arial" w:hAnsi="Arial" w:cs="Arial"/>
          <w:sz w:val="24"/>
          <w:szCs w:val="24"/>
        </w:rPr>
        <w:tab/>
        <w:t xml:space="preserve"> No se ha dado  cumplimiento a los Artículos 96 a 99 del TOCAF (ver 2.1)</w:t>
      </w:r>
      <w:r w:rsidR="00084B42">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3.2.2</w:t>
      </w:r>
      <w:r w:rsidRPr="00A74A2C">
        <w:rPr>
          <w:rFonts w:ascii="Arial" w:hAnsi="Arial" w:cs="Arial"/>
          <w:sz w:val="24"/>
          <w:szCs w:val="24"/>
        </w:rPr>
        <w:tab/>
        <w:t>Continúan sin imputarse en el grupo 5 las transferencias a la Corporación Nacional para el Desarrollo en cumplimiento del Fideicomi</w:t>
      </w:r>
      <w:r w:rsidR="00084B42">
        <w:rPr>
          <w:rFonts w:ascii="Arial" w:hAnsi="Arial" w:cs="Arial"/>
          <w:sz w:val="24"/>
          <w:szCs w:val="24"/>
        </w:rPr>
        <w:t>so de Administración. (</w:t>
      </w:r>
      <w:proofErr w:type="gramStart"/>
      <w:r w:rsidR="00084B42">
        <w:rPr>
          <w:rFonts w:ascii="Arial" w:hAnsi="Arial" w:cs="Arial"/>
          <w:sz w:val="24"/>
          <w:szCs w:val="24"/>
        </w:rPr>
        <w:t>ver</w:t>
      </w:r>
      <w:proofErr w:type="gramEnd"/>
      <w:r w:rsidR="00084B42">
        <w:rPr>
          <w:rFonts w:ascii="Arial" w:hAnsi="Arial" w:cs="Arial"/>
          <w:sz w:val="24"/>
          <w:szCs w:val="24"/>
        </w:rPr>
        <w:t xml:space="preserve"> 2.2).</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3.2.3</w:t>
      </w:r>
      <w:r w:rsidRPr="00A74A2C">
        <w:rPr>
          <w:rFonts w:ascii="Arial" w:hAnsi="Arial" w:cs="Arial"/>
          <w:sz w:val="24"/>
          <w:szCs w:val="24"/>
        </w:rPr>
        <w:tab/>
        <w:t>Continúa sin presentarse los Estados Contables de acuerdo a lo establecido en el A</w:t>
      </w:r>
      <w:r w:rsidR="00084B42">
        <w:rPr>
          <w:rFonts w:ascii="Arial" w:hAnsi="Arial" w:cs="Arial"/>
          <w:sz w:val="24"/>
          <w:szCs w:val="24"/>
        </w:rPr>
        <w:t>rticulo 94 del TOCAF  (ver 2.3).</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3.2.4</w:t>
      </w:r>
      <w:r w:rsidRPr="00A74A2C">
        <w:rPr>
          <w:rFonts w:ascii="Arial" w:hAnsi="Arial" w:cs="Arial"/>
          <w:sz w:val="24"/>
          <w:szCs w:val="24"/>
        </w:rPr>
        <w:tab/>
        <w:t>Continúan sin instrumentarse las acciones tendientes al cobro del “Impuesto a los Bailes” mencionado en el Artículo 8 de la Ley 10853 modificada por la Ley Nº 14106 Artículo 469.</w:t>
      </w:r>
      <w:r w:rsidR="00084B42">
        <w:rPr>
          <w:rFonts w:ascii="Arial" w:hAnsi="Arial" w:cs="Arial"/>
          <w:sz w:val="24"/>
          <w:szCs w:val="24"/>
        </w:rPr>
        <w:t xml:space="preserve"> </w:t>
      </w:r>
      <w:r w:rsidRPr="00A74A2C">
        <w:rPr>
          <w:rFonts w:ascii="Arial" w:hAnsi="Arial" w:cs="Arial"/>
          <w:sz w:val="24"/>
          <w:szCs w:val="24"/>
        </w:rPr>
        <w:t>(</w:t>
      </w:r>
      <w:proofErr w:type="gramStart"/>
      <w:r w:rsidRPr="00A74A2C">
        <w:rPr>
          <w:rFonts w:ascii="Arial" w:hAnsi="Arial" w:cs="Arial"/>
          <w:sz w:val="24"/>
          <w:szCs w:val="24"/>
        </w:rPr>
        <w:t>ver</w:t>
      </w:r>
      <w:proofErr w:type="gramEnd"/>
      <w:r w:rsidRPr="00A74A2C">
        <w:rPr>
          <w:rFonts w:ascii="Arial" w:hAnsi="Arial" w:cs="Arial"/>
          <w:sz w:val="24"/>
          <w:szCs w:val="24"/>
        </w:rPr>
        <w:t xml:space="preserve"> 2.4)</w:t>
      </w:r>
      <w:r w:rsidR="00084B42">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3.2.5</w:t>
      </w:r>
      <w:r w:rsidRPr="00A74A2C">
        <w:rPr>
          <w:rFonts w:ascii="Arial" w:hAnsi="Arial" w:cs="Arial"/>
          <w:sz w:val="24"/>
          <w:szCs w:val="24"/>
        </w:rPr>
        <w:tab/>
        <w:t>Se mantiene sin incluir en las bases de cálculo para determinar los aportes al BPS, las prestaciones de vivienda de acuerdo a lo dispuesto en el Artículo 164 de la Ley 16713</w:t>
      </w:r>
      <w:proofErr w:type="gramStart"/>
      <w:r w:rsidRPr="00A74A2C">
        <w:rPr>
          <w:rFonts w:ascii="Arial" w:hAnsi="Arial" w:cs="Arial"/>
          <w:sz w:val="24"/>
          <w:szCs w:val="24"/>
        </w:rPr>
        <w:t>.(</w:t>
      </w:r>
      <w:proofErr w:type="gramEnd"/>
      <w:r w:rsidRPr="00A74A2C">
        <w:rPr>
          <w:rFonts w:ascii="Arial" w:hAnsi="Arial" w:cs="Arial"/>
          <w:sz w:val="24"/>
          <w:szCs w:val="24"/>
        </w:rPr>
        <w:t>ver 2.5)</w:t>
      </w:r>
      <w:r w:rsidR="00DE1D7A">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3.2.6</w:t>
      </w:r>
      <w:r w:rsidRPr="00A74A2C">
        <w:rPr>
          <w:rFonts w:ascii="Arial" w:hAnsi="Arial" w:cs="Arial"/>
          <w:sz w:val="24"/>
          <w:szCs w:val="24"/>
        </w:rPr>
        <w:tab/>
        <w:t>Continúan sin computarse las prestaciones de vivienda, los seguros del personal, los vales de nafta, las prestaciones de alimentación y la partida para transporte para el cálculo de la retención por concepto de IRPF.(ver 2.6)</w:t>
      </w:r>
      <w:r w:rsidR="00084B42">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3.2.7</w:t>
      </w:r>
      <w:r w:rsidRPr="00A74A2C">
        <w:rPr>
          <w:rFonts w:ascii="Arial" w:hAnsi="Arial" w:cs="Arial"/>
          <w:sz w:val="24"/>
          <w:szCs w:val="24"/>
        </w:rPr>
        <w:tab/>
        <w:t>Sigue sin darse cumplimiento de lo dispuesto por el Decreto Nº 134/94 y al C</w:t>
      </w:r>
      <w:r w:rsidR="00084B42">
        <w:rPr>
          <w:rFonts w:ascii="Arial" w:hAnsi="Arial" w:cs="Arial"/>
          <w:sz w:val="24"/>
          <w:szCs w:val="24"/>
        </w:rPr>
        <w:t>onvenio 30 de la OIT. (</w:t>
      </w:r>
      <w:proofErr w:type="gramStart"/>
      <w:r w:rsidR="00084B42">
        <w:rPr>
          <w:rFonts w:ascii="Arial" w:hAnsi="Arial" w:cs="Arial"/>
          <w:sz w:val="24"/>
          <w:szCs w:val="24"/>
        </w:rPr>
        <w:t>ver</w:t>
      </w:r>
      <w:proofErr w:type="gramEnd"/>
      <w:r w:rsidR="00084B42">
        <w:rPr>
          <w:rFonts w:ascii="Arial" w:hAnsi="Arial" w:cs="Arial"/>
          <w:sz w:val="24"/>
          <w:szCs w:val="24"/>
        </w:rPr>
        <w:t xml:space="preserve"> 2.7).</w:t>
      </w:r>
    </w:p>
    <w:p w:rsidR="00A74A2C" w:rsidRPr="00084B42" w:rsidRDefault="00A74A2C" w:rsidP="00A74A2C">
      <w:pPr>
        <w:keepNext/>
        <w:spacing w:line="360" w:lineRule="auto"/>
        <w:jc w:val="both"/>
        <w:rPr>
          <w:rFonts w:ascii="Arial" w:hAnsi="Arial" w:cs="Arial"/>
          <w:b/>
          <w:sz w:val="24"/>
          <w:szCs w:val="24"/>
        </w:rPr>
      </w:pPr>
      <w:r w:rsidRPr="00084B42">
        <w:rPr>
          <w:rFonts w:ascii="Arial" w:hAnsi="Arial" w:cs="Arial"/>
          <w:b/>
          <w:sz w:val="24"/>
          <w:szCs w:val="24"/>
        </w:rPr>
        <w:t>3.3</w:t>
      </w:r>
      <w:r w:rsidRPr="00084B42">
        <w:rPr>
          <w:rFonts w:ascii="Arial" w:hAnsi="Arial" w:cs="Arial"/>
          <w:b/>
          <w:sz w:val="24"/>
          <w:szCs w:val="24"/>
        </w:rPr>
        <w:tab/>
        <w:t>Recomendaciones del Ejercicio.</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3.3.1</w:t>
      </w:r>
      <w:r w:rsidRPr="00A74A2C">
        <w:rPr>
          <w:rFonts w:ascii="Arial" w:hAnsi="Arial" w:cs="Arial"/>
          <w:sz w:val="24"/>
          <w:szCs w:val="24"/>
        </w:rPr>
        <w:tab/>
        <w:t>Implementar las medidas necesarias a efectos de identificar las partidas que se exponen como conciliatorias en las conciliaciones bancarias (ver 1.1.1)</w:t>
      </w:r>
      <w:r w:rsidR="00084B42">
        <w:rPr>
          <w:rFonts w:ascii="Arial" w:hAnsi="Arial" w:cs="Arial"/>
          <w:sz w:val="24"/>
          <w:szCs w:val="24"/>
        </w:rPr>
        <w:t>.</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3.3.2</w:t>
      </w:r>
      <w:r w:rsidRPr="00A74A2C">
        <w:rPr>
          <w:rFonts w:ascii="Arial" w:hAnsi="Arial" w:cs="Arial"/>
          <w:sz w:val="24"/>
          <w:szCs w:val="24"/>
        </w:rPr>
        <w:tab/>
        <w:t>Mantener un inventario actualizado de los bienes del Organismo que incluya su valuación a efectos de dar cumplimiento con el ar</w:t>
      </w:r>
      <w:r w:rsidR="00084B42">
        <w:rPr>
          <w:rFonts w:ascii="Arial" w:hAnsi="Arial" w:cs="Arial"/>
          <w:sz w:val="24"/>
          <w:szCs w:val="24"/>
        </w:rPr>
        <w:t>tículo 84 del TOCAF (ver 1.2.1).</w:t>
      </w:r>
    </w:p>
    <w:p w:rsidR="00A74A2C" w:rsidRPr="00A74A2C" w:rsidRDefault="00A74A2C" w:rsidP="00A74A2C">
      <w:pPr>
        <w:keepNext/>
        <w:spacing w:line="360" w:lineRule="auto"/>
        <w:jc w:val="both"/>
        <w:rPr>
          <w:rFonts w:ascii="Arial" w:hAnsi="Arial" w:cs="Arial"/>
          <w:sz w:val="24"/>
          <w:szCs w:val="24"/>
        </w:rPr>
      </w:pPr>
      <w:r w:rsidRPr="00084B42">
        <w:rPr>
          <w:rFonts w:ascii="Arial" w:hAnsi="Arial" w:cs="Arial"/>
          <w:b/>
          <w:sz w:val="24"/>
          <w:szCs w:val="24"/>
        </w:rPr>
        <w:t>3.3.3</w:t>
      </w:r>
      <w:r w:rsidRPr="00A74A2C">
        <w:rPr>
          <w:rFonts w:ascii="Arial" w:hAnsi="Arial" w:cs="Arial"/>
          <w:sz w:val="24"/>
          <w:szCs w:val="24"/>
        </w:rPr>
        <w:tab/>
        <w:t xml:space="preserve"> Dar cumplimiento a lo dispuesto por el Articulo 49 de la Ley 18.651 en relación al cupo de ingreso de personas con discapacidad (ver 1.3.1).</w:t>
      </w:r>
    </w:p>
    <w:p w:rsidR="00431683" w:rsidRDefault="00A74A2C" w:rsidP="00DE1D7A">
      <w:pPr>
        <w:keepNext/>
        <w:spacing w:line="360" w:lineRule="auto"/>
        <w:jc w:val="both"/>
        <w:rPr>
          <w:rFonts w:ascii="Arial" w:hAnsi="Arial" w:cs="Arial"/>
          <w:sz w:val="24"/>
          <w:szCs w:val="24"/>
        </w:rPr>
      </w:pPr>
      <w:r w:rsidRPr="00A74A2C">
        <w:rPr>
          <w:rFonts w:ascii="Arial" w:hAnsi="Arial" w:cs="Arial"/>
          <w:sz w:val="24"/>
          <w:szCs w:val="24"/>
        </w:rPr>
        <w:t>LO</w:t>
      </w:r>
    </w:p>
    <w:sectPr w:rsidR="00431683" w:rsidSect="00804947">
      <w:pgSz w:w="11906" w:h="16838"/>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D9"/>
    <w:rsid w:val="00084B42"/>
    <w:rsid w:val="00431683"/>
    <w:rsid w:val="004621AC"/>
    <w:rsid w:val="004A32D9"/>
    <w:rsid w:val="005F6DA1"/>
    <w:rsid w:val="0066546B"/>
    <w:rsid w:val="00804947"/>
    <w:rsid w:val="009A7866"/>
    <w:rsid w:val="00A73D59"/>
    <w:rsid w:val="00A74A2C"/>
    <w:rsid w:val="00B94D3D"/>
    <w:rsid w:val="00D25242"/>
    <w:rsid w:val="00DE1D7A"/>
    <w:rsid w:val="00DF6030"/>
    <w:rsid w:val="00FE5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1914</Words>
  <Characters>10531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OLIVIERI</dc:creator>
  <cp:keywords/>
  <dc:description/>
  <cp:lastModifiedBy> </cp:lastModifiedBy>
  <cp:revision>5</cp:revision>
  <cp:lastPrinted>2015-06-30T16:43:00Z</cp:lastPrinted>
  <dcterms:created xsi:type="dcterms:W3CDTF">2015-07-14T19:54:00Z</dcterms:created>
  <dcterms:modified xsi:type="dcterms:W3CDTF">2015-07-29T21:36:00Z</dcterms:modified>
</cp:coreProperties>
</file>