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8F" w:rsidRDefault="00AB7B8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</w:t>
      </w:r>
      <w:bookmarkStart w:id="0" w:name="_GoBack"/>
      <w:r>
        <w:rPr>
          <w:rFonts w:ascii="Helvetica" w:hAnsi="Helvetica"/>
          <w:b/>
          <w:lang w:val="es-ES_tradnl"/>
        </w:rPr>
        <w:t>A</w:t>
      </w:r>
      <w:bookmarkEnd w:id="0"/>
      <w:r>
        <w:rPr>
          <w:rFonts w:ascii="Helvetica" w:hAnsi="Helvetica"/>
          <w:b/>
          <w:lang w:val="es-ES_tradnl"/>
        </w:rPr>
        <w:t>DA POR EL</w:t>
      </w:r>
    </w:p>
    <w:p w:rsidR="00AB7B8F" w:rsidRDefault="00AB7B8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B7B8F" w:rsidRDefault="00AB7B8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B7B8F" w:rsidRDefault="00AB7B8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B7B8F" w:rsidRDefault="00AB7B8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 DE JUNIO DE 2015</w:t>
      </w:r>
    </w:p>
    <w:p w:rsidR="00AB7B8F" w:rsidRDefault="00AB7B8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B7B8F" w:rsidRPr="00AB7B8F" w:rsidRDefault="00AB7B8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AB7B8F">
        <w:rPr>
          <w:rFonts w:ascii="Helvetica" w:hAnsi="Helvetica"/>
          <w:b/>
          <w:lang w:val="es-UY"/>
        </w:rPr>
        <w:t xml:space="preserve">(E. E. Nº  2014-17-1-0000748, </w:t>
      </w:r>
      <w:proofErr w:type="spellStart"/>
      <w:r w:rsidRPr="00AB7B8F">
        <w:rPr>
          <w:rFonts w:ascii="Helvetica" w:hAnsi="Helvetica"/>
          <w:b/>
          <w:lang w:val="es-UY"/>
        </w:rPr>
        <w:t>Ent</w:t>
      </w:r>
      <w:proofErr w:type="spellEnd"/>
      <w:r w:rsidRPr="00AB7B8F">
        <w:rPr>
          <w:rFonts w:ascii="Helvetica" w:hAnsi="Helvetica"/>
          <w:b/>
          <w:lang w:val="es-UY"/>
        </w:rPr>
        <w:t>. N° 2736/15)</w:t>
      </w:r>
    </w:p>
    <w:p w:rsidR="00AB7B8F" w:rsidRPr="00AB7B8F" w:rsidRDefault="00AB7B8F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AB7B8F" w:rsidRPr="00AB7B8F" w:rsidRDefault="00AB7B8F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D67659" w:rsidRPr="00B34E1C" w:rsidRDefault="00D67659" w:rsidP="00FE377C">
      <w:pPr>
        <w:spacing w:line="360" w:lineRule="auto"/>
        <w:ind w:firstLine="708"/>
        <w:jc w:val="both"/>
        <w:rPr>
          <w:rFonts w:ascii="Arial" w:hAnsi="Arial" w:cs="Arial"/>
        </w:rPr>
      </w:pPr>
      <w:r w:rsidRPr="0057260A"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</w:t>
      </w:r>
      <w:r w:rsidRPr="009B1F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 nuevas actuaciones remitidas por la </w:t>
      </w:r>
      <w:r w:rsidRPr="009B1F70">
        <w:rPr>
          <w:rFonts w:ascii="Arial" w:hAnsi="Arial" w:cs="Arial"/>
        </w:rPr>
        <w:t xml:space="preserve">Administración de los Servicios de Salud del Estado </w:t>
      </w:r>
      <w:r>
        <w:rPr>
          <w:rFonts w:ascii="Arial" w:hAnsi="Arial" w:cs="Arial"/>
        </w:rPr>
        <w:t xml:space="preserve">(A.S.S.E.) relacionadas con </w:t>
      </w:r>
      <w:r w:rsidR="00880BC2">
        <w:rPr>
          <w:rFonts w:ascii="Arial" w:hAnsi="Arial" w:cs="Arial"/>
        </w:rPr>
        <w:t xml:space="preserve">la Licitación </w:t>
      </w:r>
      <w:r w:rsidR="007B0E37">
        <w:rPr>
          <w:rFonts w:ascii="Arial" w:hAnsi="Arial" w:cs="Arial"/>
        </w:rPr>
        <w:t>Pública</w:t>
      </w:r>
      <w:r w:rsidR="00880BC2">
        <w:rPr>
          <w:rFonts w:ascii="Arial" w:hAnsi="Arial" w:cs="Arial"/>
        </w:rPr>
        <w:t xml:space="preserve"> Nº 46/13 para la contratación de servicio de mantenimiento de equipos de radioterapia para el Instituto Nacional del Cáncer (INCA).</w:t>
      </w:r>
      <w:r w:rsidRPr="00B34E1C">
        <w:rPr>
          <w:rFonts w:ascii="Arial" w:hAnsi="Arial" w:cs="Arial"/>
        </w:rPr>
        <w:t xml:space="preserve"> </w:t>
      </w:r>
    </w:p>
    <w:p w:rsidR="00D67659" w:rsidRPr="00880BC2" w:rsidRDefault="00880BC2" w:rsidP="00880B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D67659" w:rsidRPr="00880BC2">
        <w:rPr>
          <w:rFonts w:ascii="Arial" w:hAnsi="Arial" w:cs="Arial"/>
          <w:b/>
        </w:rPr>
        <w:t>RESULTANDO: 1)</w:t>
      </w:r>
      <w:r w:rsidR="00D67659" w:rsidRPr="00880BC2">
        <w:rPr>
          <w:rFonts w:ascii="Arial" w:hAnsi="Arial" w:cs="Arial"/>
        </w:rPr>
        <w:t xml:space="preserve"> que</w:t>
      </w:r>
      <w:r w:rsidR="007B0E37">
        <w:rPr>
          <w:rFonts w:ascii="Arial" w:hAnsi="Arial" w:cs="Arial"/>
        </w:rPr>
        <w:t>,</w:t>
      </w:r>
      <w:r w:rsidR="00D67659" w:rsidRPr="00880BC2">
        <w:rPr>
          <w:rFonts w:ascii="Arial" w:hAnsi="Arial" w:cs="Arial"/>
        </w:rPr>
        <w:t xml:space="preserve"> </w:t>
      </w:r>
      <w:r w:rsidRPr="00880BC2">
        <w:rPr>
          <w:rFonts w:ascii="Arial" w:hAnsi="Arial" w:cs="Arial"/>
        </w:rPr>
        <w:t>por Resolución de fecha 29.10.2013</w:t>
      </w:r>
      <w:r w:rsidR="007B0E37">
        <w:rPr>
          <w:rFonts w:ascii="Arial" w:hAnsi="Arial" w:cs="Arial"/>
        </w:rPr>
        <w:t>,</w:t>
      </w:r>
      <w:r w:rsidRPr="00880BC2">
        <w:rPr>
          <w:rFonts w:ascii="Arial" w:hAnsi="Arial" w:cs="Arial"/>
        </w:rPr>
        <w:t xml:space="preserve"> el Director del INCA res</w:t>
      </w:r>
      <w:r w:rsidR="007B0E37">
        <w:rPr>
          <w:rFonts w:ascii="Arial" w:hAnsi="Arial" w:cs="Arial"/>
        </w:rPr>
        <w:t>olvió</w:t>
      </w:r>
      <w:r w:rsidRPr="00880BC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</w:t>
      </w:r>
      <w:r w:rsidRPr="00880BC2">
        <w:rPr>
          <w:rFonts w:ascii="Arial" w:hAnsi="Arial" w:cs="Arial"/>
        </w:rPr>
        <w:t>) Adjudicar la Licitación de marras por el monto total anual de $ 1.972.169 impuestos incluidos, correspondiente a los ítems 1 (</w:t>
      </w:r>
      <w:proofErr w:type="spellStart"/>
      <w:r w:rsidRPr="00880BC2">
        <w:rPr>
          <w:rFonts w:ascii="Arial" w:hAnsi="Arial" w:cs="Arial"/>
        </w:rPr>
        <w:t>Service</w:t>
      </w:r>
      <w:proofErr w:type="spellEnd"/>
      <w:r w:rsidRPr="00880BC2">
        <w:rPr>
          <w:rFonts w:ascii="Arial" w:hAnsi="Arial" w:cs="Arial"/>
        </w:rPr>
        <w:t xml:space="preserve"> de equipo acelerador lineal </w:t>
      </w:r>
      <w:proofErr w:type="spellStart"/>
      <w:r w:rsidRPr="00880BC2">
        <w:rPr>
          <w:rFonts w:ascii="Arial" w:hAnsi="Arial" w:cs="Arial"/>
        </w:rPr>
        <w:t>mod</w:t>
      </w:r>
      <w:proofErr w:type="spellEnd"/>
      <w:r w:rsidRPr="00880BC2">
        <w:rPr>
          <w:rFonts w:ascii="Arial" w:hAnsi="Arial" w:cs="Arial"/>
        </w:rPr>
        <w:t xml:space="preserve">. </w:t>
      </w:r>
      <w:proofErr w:type="spellStart"/>
      <w:r w:rsidRPr="00880BC2">
        <w:rPr>
          <w:rFonts w:ascii="Arial" w:hAnsi="Arial" w:cs="Arial"/>
        </w:rPr>
        <w:t>Variant</w:t>
      </w:r>
      <w:proofErr w:type="spellEnd"/>
      <w:r w:rsidRPr="00880BC2">
        <w:rPr>
          <w:rFonts w:ascii="Arial" w:hAnsi="Arial" w:cs="Arial"/>
        </w:rPr>
        <w:t xml:space="preserve"> 2100 C U) y 2 (</w:t>
      </w:r>
      <w:proofErr w:type="spellStart"/>
      <w:r w:rsidRPr="00880BC2">
        <w:rPr>
          <w:rFonts w:ascii="Arial" w:hAnsi="Arial" w:cs="Arial"/>
        </w:rPr>
        <w:t>Service</w:t>
      </w:r>
      <w:proofErr w:type="spellEnd"/>
      <w:r w:rsidRPr="00880BC2">
        <w:rPr>
          <w:rFonts w:ascii="Arial" w:hAnsi="Arial" w:cs="Arial"/>
        </w:rPr>
        <w:t xml:space="preserve"> de equipo </w:t>
      </w:r>
      <w:proofErr w:type="spellStart"/>
      <w:r w:rsidRPr="00880BC2">
        <w:rPr>
          <w:rFonts w:ascii="Arial" w:hAnsi="Arial" w:cs="Arial"/>
        </w:rPr>
        <w:t>Theratron</w:t>
      </w:r>
      <w:proofErr w:type="spellEnd"/>
      <w:r w:rsidRPr="00880BC2">
        <w:rPr>
          <w:rFonts w:ascii="Arial" w:hAnsi="Arial" w:cs="Arial"/>
        </w:rPr>
        <w:t xml:space="preserve"> 780 U); </w:t>
      </w:r>
      <w:r>
        <w:rPr>
          <w:rFonts w:ascii="Arial" w:hAnsi="Arial" w:cs="Arial"/>
        </w:rPr>
        <w:t>b</w:t>
      </w:r>
      <w:r w:rsidRPr="00880BC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880BC2">
        <w:rPr>
          <w:rFonts w:ascii="Arial" w:hAnsi="Arial" w:cs="Arial"/>
        </w:rPr>
        <w:t>La vigencia del llamado e</w:t>
      </w:r>
      <w:r w:rsidR="007B0E37">
        <w:rPr>
          <w:rFonts w:ascii="Arial" w:hAnsi="Arial" w:cs="Arial"/>
        </w:rPr>
        <w:t>ra</w:t>
      </w:r>
      <w:r w:rsidRPr="00880BC2">
        <w:rPr>
          <w:rFonts w:ascii="Arial" w:hAnsi="Arial" w:cs="Arial"/>
        </w:rPr>
        <w:t xml:space="preserve"> por el ejercicio 2014, prorrogable automáticamente por hasta 2 períodos de 1 año, teniendo como vencimiento final el 31/12/2016, salvo manifestación en contrario de cualquiera de las partes notificada a la otra con una antelación no menor a 30 días corridos a la fecha  de vencimiento del plazo de vigencia del contrato</w:t>
      </w:r>
      <w:r w:rsidR="00D67659" w:rsidRPr="00880BC2">
        <w:rPr>
          <w:rFonts w:ascii="Arial" w:hAnsi="Arial" w:cs="Arial"/>
        </w:rPr>
        <w:t xml:space="preserve">; </w:t>
      </w:r>
    </w:p>
    <w:p w:rsidR="00880BC2" w:rsidRDefault="00DA05CE" w:rsidP="00AB7B8F">
      <w:pPr>
        <w:spacing w:line="360" w:lineRule="auto"/>
        <w:ind w:firstLine="2694"/>
        <w:jc w:val="both"/>
        <w:rPr>
          <w:rFonts w:ascii="Arial" w:hAnsi="Arial" w:cs="Arial"/>
        </w:rPr>
      </w:pPr>
      <w:r w:rsidRPr="00DA05CE">
        <w:rPr>
          <w:rFonts w:ascii="Arial" w:hAnsi="Arial" w:cs="Arial"/>
          <w:b/>
        </w:rPr>
        <w:t>2)</w:t>
      </w:r>
      <w:r w:rsidRPr="00DA05CE">
        <w:rPr>
          <w:rFonts w:ascii="Arial" w:hAnsi="Arial" w:cs="Arial"/>
        </w:rPr>
        <w:t xml:space="preserve">  </w:t>
      </w:r>
      <w:r w:rsidR="00D67659" w:rsidRPr="00DA05CE">
        <w:rPr>
          <w:rFonts w:ascii="Arial" w:hAnsi="Arial" w:cs="Arial"/>
        </w:rPr>
        <w:t>que</w:t>
      </w:r>
      <w:r w:rsidR="007B0E3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 </w:t>
      </w:r>
      <w:r w:rsidRPr="00DA05CE">
        <w:rPr>
          <w:rFonts w:ascii="Arial" w:hAnsi="Arial" w:cs="Arial"/>
        </w:rPr>
        <w:t>Sesión de fecha 19 de febrero de 2014</w:t>
      </w:r>
      <w:r w:rsidRPr="001918BA">
        <w:rPr>
          <w:rFonts w:ascii="Arial" w:hAnsi="Arial" w:cs="Arial"/>
        </w:rPr>
        <w:t>, este Tribunal acordó: “</w:t>
      </w:r>
      <w:r>
        <w:rPr>
          <w:rFonts w:ascii="Arial" w:hAnsi="Arial" w:cs="Arial"/>
        </w:rPr>
        <w:t xml:space="preserve">No formular observaciones. </w:t>
      </w:r>
      <w:r w:rsidRPr="001918BA">
        <w:rPr>
          <w:rFonts w:ascii="Arial" w:hAnsi="Arial" w:cs="Arial"/>
        </w:rPr>
        <w:t xml:space="preserve">Cometer a la Contadora Delegada en la Administración de los Servicios de Salud del Estado (A.S.S.E.), la intervención del gasto </w:t>
      </w:r>
      <w:r w:rsidR="007B0E37">
        <w:rPr>
          <w:rFonts w:ascii="Arial" w:hAnsi="Arial" w:cs="Arial"/>
        </w:rPr>
        <w:t xml:space="preserve">anual </w:t>
      </w:r>
      <w:r w:rsidRPr="001918BA">
        <w:rPr>
          <w:rFonts w:ascii="Arial" w:hAnsi="Arial" w:cs="Arial"/>
        </w:rPr>
        <w:t xml:space="preserve">de $ </w:t>
      </w:r>
      <w:r>
        <w:rPr>
          <w:rFonts w:ascii="Arial" w:hAnsi="Arial" w:cs="Arial"/>
        </w:rPr>
        <w:t>1:972.169</w:t>
      </w:r>
      <w:r w:rsidRPr="001918BA">
        <w:rPr>
          <w:rFonts w:ascii="Arial" w:hAnsi="Arial" w:cs="Arial"/>
        </w:rPr>
        <w:t xml:space="preserve"> impuestos incluidos previo control de su imputación </w:t>
      </w:r>
      <w:r>
        <w:rPr>
          <w:rFonts w:ascii="Arial" w:hAnsi="Arial" w:cs="Arial"/>
        </w:rPr>
        <w:t>al objeto del gasto;</w:t>
      </w:r>
    </w:p>
    <w:p w:rsidR="00DA05CE" w:rsidRPr="00DA05CE" w:rsidRDefault="00DA05CE" w:rsidP="00AB7B8F">
      <w:pPr>
        <w:spacing w:line="360" w:lineRule="auto"/>
        <w:ind w:firstLine="2694"/>
        <w:jc w:val="both"/>
        <w:rPr>
          <w:rFonts w:ascii="Arial" w:hAnsi="Arial" w:cs="Arial"/>
          <w:b/>
          <w:i/>
        </w:rPr>
      </w:pPr>
      <w:r w:rsidRPr="00AB7B8F">
        <w:rPr>
          <w:rFonts w:ascii="Arial" w:hAnsi="Arial" w:cs="Arial"/>
          <w:b/>
          <w:spacing w:val="-8"/>
        </w:rPr>
        <w:t xml:space="preserve">3) </w:t>
      </w:r>
      <w:r w:rsidRPr="00AB7B8F">
        <w:rPr>
          <w:rFonts w:ascii="Arial" w:hAnsi="Arial" w:cs="Arial"/>
          <w:spacing w:val="-8"/>
        </w:rPr>
        <w:t>que se agrega</w:t>
      </w:r>
      <w:r w:rsidRPr="00AB7B8F">
        <w:rPr>
          <w:rFonts w:ascii="Arial" w:hAnsi="Arial" w:cs="Arial"/>
          <w:b/>
          <w:spacing w:val="-8"/>
        </w:rPr>
        <w:t xml:space="preserve"> </w:t>
      </w:r>
      <w:r w:rsidRPr="00AB7B8F">
        <w:rPr>
          <w:rFonts w:ascii="Arial" w:hAnsi="Arial" w:cs="Arial"/>
          <w:spacing w:val="-8"/>
        </w:rPr>
        <w:t>Documento de Afectación Nº</w:t>
      </w:r>
      <w:r w:rsidRPr="00DA05CE">
        <w:rPr>
          <w:rFonts w:ascii="Arial" w:hAnsi="Arial" w:cs="Arial"/>
        </w:rPr>
        <w:t xml:space="preserve"> 000102, de fecha 28/2/2014, Inciso 29, ASSE, Unidad Ejecutora 008 Instituto Nacional del Cáncer, Financiamiento 12 “Recursos con afectación especial”, intervenido preventivamente por la Contadora Delegada del TCR con fecha 18.3.2014</w:t>
      </w:r>
      <w:r>
        <w:rPr>
          <w:rFonts w:ascii="Arial" w:hAnsi="Arial" w:cs="Arial"/>
        </w:rPr>
        <w:t>, por el total de $</w:t>
      </w:r>
      <w:r>
        <w:rPr>
          <w:rFonts w:ascii="Arial" w:hAnsi="Arial" w:cs="Arial"/>
          <w:bCs/>
          <w:lang w:val="es-UY"/>
        </w:rPr>
        <w:t>1.972.169</w:t>
      </w:r>
    </w:p>
    <w:p w:rsidR="00D67659" w:rsidRDefault="00DA05CE" w:rsidP="00DA05CE">
      <w:pPr>
        <w:spacing w:line="360" w:lineRule="auto"/>
        <w:jc w:val="both"/>
        <w:rPr>
          <w:rFonts w:ascii="Arial" w:hAnsi="Arial" w:cs="Arial"/>
        </w:rPr>
      </w:pPr>
      <w:r w:rsidRPr="00283B86">
        <w:rPr>
          <w:rFonts w:ascii="Arial" w:hAnsi="Arial" w:cs="Arial"/>
          <w:b/>
        </w:rPr>
        <w:lastRenderedPageBreak/>
        <w:t xml:space="preserve">                                               4) </w:t>
      </w:r>
      <w:r w:rsidRPr="00283B86">
        <w:rPr>
          <w:rFonts w:ascii="Arial" w:hAnsi="Arial" w:cs="Arial"/>
        </w:rPr>
        <w:t>que</w:t>
      </w:r>
      <w:r w:rsidRPr="00283B86">
        <w:rPr>
          <w:rFonts w:ascii="Arial" w:hAnsi="Arial" w:cs="Arial"/>
          <w:b/>
        </w:rPr>
        <w:t xml:space="preserve"> </w:t>
      </w:r>
      <w:r w:rsidR="00D67659" w:rsidRPr="00283B86">
        <w:rPr>
          <w:rFonts w:ascii="Arial" w:hAnsi="Arial" w:cs="Arial"/>
        </w:rPr>
        <w:t xml:space="preserve">en la oportunidad se remite </w:t>
      </w:r>
      <w:r w:rsidR="00283B86" w:rsidRPr="00283B86">
        <w:rPr>
          <w:rFonts w:ascii="Arial" w:hAnsi="Arial" w:cs="Arial"/>
        </w:rPr>
        <w:t>Documento de Afectación Nº 000029 de fecha 8.1.2015 Inciso 29, ASSE, Unidad Ejecutora 008 Instituto Nacional del Cáncer, Financiamiento 12 “Rec</w:t>
      </w:r>
      <w:r w:rsidR="00283B86">
        <w:rPr>
          <w:rFonts w:ascii="Arial" w:hAnsi="Arial" w:cs="Arial"/>
        </w:rPr>
        <w:t>ursos con afectación especial”, por un Total Nominal: $ 1.895.487</w:t>
      </w:r>
      <w:r w:rsidR="00D67659" w:rsidRPr="00283B86">
        <w:rPr>
          <w:rFonts w:ascii="Arial" w:hAnsi="Arial" w:cs="Arial"/>
        </w:rPr>
        <w:t>;</w:t>
      </w:r>
    </w:p>
    <w:p w:rsidR="00283B86" w:rsidRDefault="00283B86" w:rsidP="00AB7B8F">
      <w:pPr>
        <w:spacing w:line="360" w:lineRule="auto"/>
        <w:ind w:firstLine="2835"/>
        <w:jc w:val="both"/>
        <w:rPr>
          <w:rFonts w:ascii="Arial" w:hAnsi="Arial" w:cs="Arial"/>
        </w:rPr>
      </w:pPr>
      <w:r w:rsidRPr="00283B86">
        <w:rPr>
          <w:rFonts w:ascii="Arial" w:hAnsi="Arial" w:cs="Arial"/>
          <w:b/>
        </w:rPr>
        <w:t xml:space="preserve">5) </w:t>
      </w:r>
      <w:r w:rsidR="00DE56F6">
        <w:rPr>
          <w:rFonts w:ascii="Arial" w:hAnsi="Arial" w:cs="Arial"/>
        </w:rPr>
        <w:t xml:space="preserve">que se agrega Resolución de fecha 21.4.2015 de la Subdirectora del INCA por la que se deja sin efecto el Ítem Nº2, </w:t>
      </w:r>
      <w:proofErr w:type="spellStart"/>
      <w:r w:rsidR="00DE56F6">
        <w:rPr>
          <w:rFonts w:ascii="Arial" w:hAnsi="Arial" w:cs="Arial"/>
        </w:rPr>
        <w:t>Serv</w:t>
      </w:r>
      <w:proofErr w:type="spellEnd"/>
      <w:r w:rsidR="00DE56F6">
        <w:rPr>
          <w:rFonts w:ascii="Arial" w:hAnsi="Arial" w:cs="Arial"/>
        </w:rPr>
        <w:t xml:space="preserve">. </w:t>
      </w:r>
      <w:proofErr w:type="gramStart"/>
      <w:r w:rsidR="00DE56F6">
        <w:rPr>
          <w:rFonts w:ascii="Arial" w:hAnsi="Arial" w:cs="Arial"/>
        </w:rPr>
        <w:t>de</w:t>
      </w:r>
      <w:proofErr w:type="gramEnd"/>
      <w:r w:rsidR="00DE56F6">
        <w:rPr>
          <w:rFonts w:ascii="Arial" w:hAnsi="Arial" w:cs="Arial"/>
        </w:rPr>
        <w:t xml:space="preserve"> Equipo </w:t>
      </w:r>
      <w:proofErr w:type="spellStart"/>
      <w:r w:rsidR="00DE56F6">
        <w:rPr>
          <w:rFonts w:ascii="Arial" w:hAnsi="Arial" w:cs="Arial"/>
        </w:rPr>
        <w:t>Theratron</w:t>
      </w:r>
      <w:proofErr w:type="spellEnd"/>
      <w:r w:rsidR="00DE56F6">
        <w:rPr>
          <w:rFonts w:ascii="Arial" w:hAnsi="Arial" w:cs="Arial"/>
        </w:rPr>
        <w:t>-, debido a la falta de necesidad de mantenimiento, por desmantelamiento del equipo;</w:t>
      </w:r>
    </w:p>
    <w:p w:rsidR="00DE56F6" w:rsidRPr="00DE56F6" w:rsidRDefault="00DE56F6" w:rsidP="00AB7B8F">
      <w:pPr>
        <w:spacing w:line="360" w:lineRule="auto"/>
        <w:ind w:firstLine="2835"/>
        <w:jc w:val="both"/>
        <w:rPr>
          <w:rFonts w:ascii="Arial" w:hAnsi="Arial" w:cs="Arial"/>
          <w:b/>
          <w:i/>
          <w:color w:val="C00000"/>
        </w:rPr>
      </w:pPr>
      <w:r w:rsidRPr="00DE56F6">
        <w:rPr>
          <w:rFonts w:ascii="Arial" w:hAnsi="Arial" w:cs="Arial"/>
          <w:b/>
        </w:rPr>
        <w:t xml:space="preserve">6) </w:t>
      </w:r>
      <w:r w:rsidRPr="00DE56F6">
        <w:rPr>
          <w:rFonts w:ascii="Arial" w:hAnsi="Arial" w:cs="Arial"/>
        </w:rPr>
        <w:t>que</w:t>
      </w:r>
      <w:r w:rsidR="007B0E37">
        <w:rPr>
          <w:rFonts w:ascii="Arial" w:hAnsi="Arial" w:cs="Arial"/>
        </w:rPr>
        <w:t>,</w:t>
      </w:r>
      <w:r w:rsidRPr="00DE56F6">
        <w:rPr>
          <w:rFonts w:ascii="Arial" w:hAnsi="Arial" w:cs="Arial"/>
        </w:rPr>
        <w:t xml:space="preserve"> con fecha 8.5.2015</w:t>
      </w:r>
      <w:r w:rsidR="007B0E37">
        <w:rPr>
          <w:rFonts w:ascii="Arial" w:hAnsi="Arial" w:cs="Arial"/>
        </w:rPr>
        <w:t>,</w:t>
      </w:r>
      <w:r w:rsidRPr="00DE56F6">
        <w:rPr>
          <w:rFonts w:ascii="Arial" w:hAnsi="Arial" w:cs="Arial"/>
        </w:rPr>
        <w:t xml:space="preserve"> la </w:t>
      </w:r>
      <w:proofErr w:type="spellStart"/>
      <w:r w:rsidRPr="00DE56F6">
        <w:rPr>
          <w:rFonts w:ascii="Arial" w:hAnsi="Arial" w:cs="Arial"/>
        </w:rPr>
        <w:t>Cra</w:t>
      </w:r>
      <w:proofErr w:type="spellEnd"/>
      <w:r w:rsidRPr="00DE56F6">
        <w:rPr>
          <w:rFonts w:ascii="Arial" w:hAnsi="Arial" w:cs="Arial"/>
        </w:rPr>
        <w:t>. Delegada del TCR informa que “se debe notificar al proveedor del no uso de la prórroga del Ítem 2, y al tratarse de una pública que fue sometida al TCR y cambiaron las condiciones vistas por éste se deben remitir al TCR nuevamente”</w:t>
      </w:r>
      <w:r>
        <w:rPr>
          <w:rFonts w:ascii="Arial" w:hAnsi="Arial" w:cs="Arial"/>
        </w:rPr>
        <w:t xml:space="preserve">; </w:t>
      </w:r>
      <w:r w:rsidRPr="00DE56F6">
        <w:rPr>
          <w:rFonts w:ascii="Arial" w:hAnsi="Arial" w:cs="Arial"/>
        </w:rPr>
        <w:t xml:space="preserve">notificación </w:t>
      </w:r>
      <w:r>
        <w:rPr>
          <w:rFonts w:ascii="Arial" w:hAnsi="Arial" w:cs="Arial"/>
        </w:rPr>
        <w:t>que consta efectuada a</w:t>
      </w:r>
      <w:r w:rsidRPr="00DE56F6">
        <w:rPr>
          <w:rFonts w:ascii="Arial" w:hAnsi="Arial" w:cs="Arial"/>
        </w:rPr>
        <w:t xml:space="preserve"> la empresa TERA ING</w:t>
      </w:r>
      <w:r>
        <w:rPr>
          <w:rFonts w:ascii="Arial" w:hAnsi="Arial" w:cs="Arial"/>
        </w:rPr>
        <w:t xml:space="preserve">ENIEROS SRL con fecha 20.5.2015; </w:t>
      </w:r>
    </w:p>
    <w:p w:rsidR="00184E22" w:rsidRDefault="00D67659" w:rsidP="000561C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C35D2">
        <w:rPr>
          <w:rFonts w:ascii="Arial" w:hAnsi="Arial" w:cs="Arial"/>
          <w:b/>
        </w:rPr>
        <w:t>CONSIDERANDO:</w:t>
      </w:r>
      <w:r>
        <w:rPr>
          <w:rFonts w:ascii="Arial" w:hAnsi="Arial" w:cs="Arial"/>
        </w:rPr>
        <w:t xml:space="preserve"> </w:t>
      </w:r>
      <w:r w:rsidR="001811D9" w:rsidRPr="00B37331">
        <w:rPr>
          <w:rFonts w:ascii="Arial" w:hAnsi="Arial" w:cs="Arial"/>
          <w:b/>
        </w:rPr>
        <w:t>1)</w:t>
      </w:r>
      <w:r w:rsidR="00184E22">
        <w:rPr>
          <w:rFonts w:ascii="Arial" w:hAnsi="Arial" w:cs="Arial"/>
          <w:b/>
        </w:rPr>
        <w:t xml:space="preserve"> </w:t>
      </w:r>
      <w:r w:rsidR="00184E22" w:rsidRPr="00184E22">
        <w:rPr>
          <w:rFonts w:ascii="Arial" w:hAnsi="Arial" w:cs="Arial"/>
        </w:rPr>
        <w:t>que</w:t>
      </w:r>
      <w:r w:rsidR="00184E22">
        <w:rPr>
          <w:rFonts w:ascii="Arial" w:hAnsi="Arial" w:cs="Arial"/>
        </w:rPr>
        <w:t xml:space="preserve"> el A</w:t>
      </w:r>
      <w:r w:rsidR="00AB7B8F">
        <w:rPr>
          <w:rFonts w:ascii="Arial" w:hAnsi="Arial" w:cs="Arial"/>
        </w:rPr>
        <w:t>rtículo</w:t>
      </w:r>
      <w:r w:rsidR="00184E22">
        <w:rPr>
          <w:rFonts w:ascii="Arial" w:hAnsi="Arial" w:cs="Arial"/>
        </w:rPr>
        <w:t xml:space="preserve"> 74 del TOCAF establece que las prestaciones objeto de los contratos podrá disminuirse en las proporciones que sea de interés para la Administración y que exceda el 10 %, con acuerdo del adjudicatario, por lo que lo dispuesto por la Resolución de 21/4/2015 se ajustó a dicha disposición;</w:t>
      </w:r>
    </w:p>
    <w:p w:rsidR="00D67659" w:rsidRDefault="00AB7B8F" w:rsidP="00AB7B8F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B37331" w:rsidRPr="00B37331">
        <w:rPr>
          <w:rFonts w:ascii="Arial" w:hAnsi="Arial" w:cs="Arial"/>
          <w:b/>
        </w:rPr>
        <w:t>2)</w:t>
      </w:r>
      <w:r w:rsidR="00B37331">
        <w:rPr>
          <w:rFonts w:ascii="Arial" w:hAnsi="Arial" w:cs="Arial"/>
          <w:b/>
        </w:rPr>
        <w:t xml:space="preserve"> </w:t>
      </w:r>
      <w:r w:rsidR="00B37331">
        <w:rPr>
          <w:rFonts w:ascii="Arial" w:hAnsi="Arial" w:cs="Arial"/>
        </w:rPr>
        <w:t>que</w:t>
      </w:r>
      <w:r w:rsidR="00184E22">
        <w:rPr>
          <w:rFonts w:ascii="Arial" w:hAnsi="Arial" w:cs="Arial"/>
        </w:rPr>
        <w:t>, no obstante,</w:t>
      </w:r>
      <w:r w:rsidR="00B37331">
        <w:rPr>
          <w:rFonts w:ascii="Arial" w:hAnsi="Arial" w:cs="Arial"/>
        </w:rPr>
        <w:t xml:space="preserve"> la notificación a la firma adjudicataria</w:t>
      </w:r>
      <w:r w:rsidR="00184E22">
        <w:rPr>
          <w:rFonts w:ascii="Arial" w:hAnsi="Arial" w:cs="Arial"/>
        </w:rPr>
        <w:t xml:space="preserve">, no implica el acuerdo de la misma a la disminución dispuesta; </w:t>
      </w:r>
      <w:r w:rsidR="00B37331">
        <w:rPr>
          <w:rFonts w:ascii="Arial" w:hAnsi="Arial" w:cs="Arial"/>
        </w:rPr>
        <w:t xml:space="preserve"> </w:t>
      </w:r>
    </w:p>
    <w:p w:rsidR="00D67659" w:rsidRDefault="00D67659" w:rsidP="000561C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C35D2"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precedentemente expuesto</w:t>
      </w:r>
      <w:r w:rsidR="00184E22">
        <w:rPr>
          <w:rFonts w:ascii="Arial" w:hAnsi="Arial" w:cs="Arial"/>
        </w:rPr>
        <w:t xml:space="preserve"> y a lo dispuesto por el A</w:t>
      </w:r>
      <w:r w:rsidR="00AB7B8F">
        <w:rPr>
          <w:rFonts w:ascii="Arial" w:hAnsi="Arial" w:cs="Arial"/>
        </w:rPr>
        <w:t>rtículo</w:t>
      </w:r>
      <w:r w:rsidR="00184E22">
        <w:rPr>
          <w:rFonts w:ascii="Arial" w:hAnsi="Arial" w:cs="Arial"/>
        </w:rPr>
        <w:t xml:space="preserve"> 211, </w:t>
      </w:r>
      <w:r w:rsidR="00AB7B8F">
        <w:rPr>
          <w:rFonts w:ascii="Arial" w:hAnsi="Arial" w:cs="Arial"/>
        </w:rPr>
        <w:t>L</w:t>
      </w:r>
      <w:r w:rsidR="00184E22">
        <w:rPr>
          <w:rFonts w:ascii="Arial" w:hAnsi="Arial" w:cs="Arial"/>
        </w:rPr>
        <w:t>iteral B</w:t>
      </w:r>
      <w:r w:rsidR="00AB7B8F">
        <w:rPr>
          <w:rFonts w:ascii="Arial" w:hAnsi="Arial" w:cs="Arial"/>
        </w:rPr>
        <w:t>)</w:t>
      </w:r>
      <w:r w:rsidR="00184E22">
        <w:rPr>
          <w:rFonts w:ascii="Arial" w:hAnsi="Arial" w:cs="Arial"/>
        </w:rPr>
        <w:t xml:space="preserve"> de la Constitución de la República,</w:t>
      </w:r>
      <w:r>
        <w:rPr>
          <w:rFonts w:ascii="Arial" w:hAnsi="Arial" w:cs="Arial"/>
        </w:rPr>
        <w:t xml:space="preserve"> </w:t>
      </w:r>
    </w:p>
    <w:p w:rsidR="00D67659" w:rsidRPr="00EC35D2" w:rsidRDefault="00D67659" w:rsidP="00EC35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AB7B8F" w:rsidRDefault="00AB7B8F" w:rsidP="00AB7B8F">
      <w:pPr>
        <w:pStyle w:val="Prrafodelista"/>
        <w:spacing w:line="360" w:lineRule="auto"/>
        <w:ind w:left="284" w:hanging="284"/>
        <w:jc w:val="both"/>
        <w:rPr>
          <w:rFonts w:ascii="Arial" w:hAnsi="Arial" w:cs="Arial"/>
        </w:rPr>
      </w:pPr>
      <w:r w:rsidRPr="00AB7B8F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276A34">
        <w:rPr>
          <w:rFonts w:ascii="Arial" w:hAnsi="Arial" w:cs="Arial"/>
        </w:rPr>
        <w:t>Recabado el acuerdo de la firma adjudicataria, c</w:t>
      </w:r>
      <w:r w:rsidR="00184E22">
        <w:rPr>
          <w:rFonts w:ascii="Arial" w:hAnsi="Arial" w:cs="Arial"/>
        </w:rPr>
        <w:t xml:space="preserve">ometer a la </w:t>
      </w:r>
      <w:proofErr w:type="spellStart"/>
      <w:r w:rsidR="00184E22">
        <w:rPr>
          <w:rFonts w:ascii="Arial" w:hAnsi="Arial" w:cs="Arial"/>
        </w:rPr>
        <w:t>Cra</w:t>
      </w:r>
      <w:proofErr w:type="spellEnd"/>
      <w:r w:rsidR="00184E22">
        <w:rPr>
          <w:rFonts w:ascii="Arial" w:hAnsi="Arial" w:cs="Arial"/>
        </w:rPr>
        <w:t xml:space="preserve">. Delegada </w:t>
      </w:r>
      <w:r w:rsidR="00276A34">
        <w:rPr>
          <w:rFonts w:ascii="Arial" w:hAnsi="Arial" w:cs="Arial"/>
        </w:rPr>
        <w:t>la intervención del gasto.</w:t>
      </w:r>
    </w:p>
    <w:p w:rsidR="00AB7B8F" w:rsidRDefault="00AB7B8F" w:rsidP="00AB7B8F">
      <w:pPr>
        <w:pStyle w:val="Prrafodelista"/>
        <w:spacing w:line="360" w:lineRule="auto"/>
        <w:ind w:left="284" w:hanging="284"/>
        <w:jc w:val="both"/>
        <w:rPr>
          <w:rFonts w:ascii="Arial" w:hAnsi="Arial" w:cs="Arial"/>
        </w:rPr>
      </w:pPr>
      <w:r w:rsidRPr="00AB7B8F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276A34">
        <w:rPr>
          <w:rFonts w:ascii="Arial" w:hAnsi="Arial" w:cs="Arial"/>
        </w:rPr>
        <w:t xml:space="preserve">Cometer asimismo a la Contadora Delegada </w:t>
      </w:r>
      <w:r w:rsidR="00184E22">
        <w:rPr>
          <w:rFonts w:ascii="Arial" w:hAnsi="Arial" w:cs="Arial"/>
        </w:rPr>
        <w:t>el control de las eventuales desafectaciones que corresponda realizar.</w:t>
      </w:r>
    </w:p>
    <w:p w:rsidR="00AB7B8F" w:rsidRDefault="00AB7B8F" w:rsidP="00AB7B8F">
      <w:pPr>
        <w:pStyle w:val="Prrafodelista"/>
        <w:spacing w:line="360" w:lineRule="auto"/>
        <w:ind w:left="284" w:hanging="284"/>
        <w:jc w:val="both"/>
        <w:rPr>
          <w:rFonts w:ascii="Arial" w:hAnsi="Arial" w:cs="Arial"/>
          <w:b/>
        </w:rPr>
      </w:pPr>
    </w:p>
    <w:p w:rsidR="00184E22" w:rsidRDefault="00AB7B8F" w:rsidP="00AB7B8F">
      <w:pPr>
        <w:pStyle w:val="Prrafodelista"/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3) </w:t>
      </w:r>
      <w:r w:rsidR="00184E22" w:rsidRPr="00184E22">
        <w:rPr>
          <w:rFonts w:ascii="Arial" w:hAnsi="Arial" w:cs="Arial"/>
        </w:rPr>
        <w:t>Comunicar a la Contadora Delegada</w:t>
      </w:r>
      <w:r>
        <w:rPr>
          <w:rFonts w:ascii="Arial" w:hAnsi="Arial" w:cs="Arial"/>
        </w:rPr>
        <w:t>; y</w:t>
      </w:r>
      <w:r w:rsidR="00184E22" w:rsidRPr="00184E22">
        <w:rPr>
          <w:rFonts w:ascii="Arial" w:hAnsi="Arial" w:cs="Arial"/>
        </w:rPr>
        <w:t xml:space="preserve"> </w:t>
      </w:r>
    </w:p>
    <w:p w:rsidR="00D67659" w:rsidRPr="00184E22" w:rsidRDefault="00AB7B8F" w:rsidP="00AB7B8F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 w:rsidRPr="00AB7B8F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</w:t>
      </w:r>
      <w:r w:rsidR="00D67659" w:rsidRPr="00184E22">
        <w:rPr>
          <w:rFonts w:ascii="Arial" w:hAnsi="Arial" w:cs="Arial"/>
        </w:rPr>
        <w:t>Devolver las actuaciones.</w:t>
      </w:r>
    </w:p>
    <w:p w:rsidR="00D67659" w:rsidRPr="005262AD" w:rsidRDefault="00D67659" w:rsidP="00AB7B8F">
      <w:pPr>
        <w:pStyle w:val="Ttulo"/>
        <w:jc w:val="both"/>
        <w:rPr>
          <w:b w:val="0"/>
          <w:bCs/>
          <w:sz w:val="16"/>
          <w:szCs w:val="16"/>
          <w:u w:val="none"/>
          <w:lang w:val="es-ES_tradnl"/>
        </w:rPr>
      </w:pPr>
      <w:r>
        <w:rPr>
          <w:b w:val="0"/>
          <w:bCs/>
          <w:sz w:val="16"/>
          <w:szCs w:val="16"/>
          <w:u w:val="none"/>
          <w:lang w:val="es-ES_tradnl"/>
        </w:rPr>
        <w:t xml:space="preserve">  </w:t>
      </w:r>
    </w:p>
    <w:p w:rsidR="00DE56F6" w:rsidRDefault="00DE56F6" w:rsidP="004C2A2A">
      <w:pPr>
        <w:pStyle w:val="Prrafodelista"/>
        <w:spacing w:line="360" w:lineRule="auto"/>
        <w:ind w:firstLine="696"/>
        <w:jc w:val="both"/>
        <w:rPr>
          <w:rFonts w:ascii="Arial" w:hAnsi="Arial" w:cs="Arial"/>
          <w:lang w:val="es-ES_tradnl"/>
        </w:rPr>
      </w:pPr>
    </w:p>
    <w:p w:rsidR="00DE56F6" w:rsidRDefault="00DE56F6" w:rsidP="004C2A2A">
      <w:pPr>
        <w:pStyle w:val="Prrafodelista"/>
        <w:spacing w:line="360" w:lineRule="auto"/>
        <w:ind w:firstLine="696"/>
        <w:jc w:val="both"/>
        <w:rPr>
          <w:rFonts w:ascii="Arial" w:hAnsi="Arial" w:cs="Arial"/>
          <w:lang w:val="es-ES_tradnl"/>
        </w:rPr>
      </w:pPr>
    </w:p>
    <w:p w:rsidR="00D67659" w:rsidRDefault="00D67659" w:rsidP="004C2A2A">
      <w:pPr>
        <w:pStyle w:val="Prrafodelista"/>
        <w:spacing w:line="360" w:lineRule="auto"/>
        <w:ind w:firstLine="696"/>
        <w:jc w:val="both"/>
        <w:rPr>
          <w:rFonts w:ascii="Arial" w:hAnsi="Arial" w:cs="Arial"/>
          <w:lang w:val="es-ES_tradnl"/>
        </w:rPr>
      </w:pPr>
    </w:p>
    <w:p w:rsidR="00AB7B8F" w:rsidRDefault="00AB7B8F" w:rsidP="004C2A2A">
      <w:pPr>
        <w:pStyle w:val="Prrafodelista"/>
        <w:spacing w:line="360" w:lineRule="auto"/>
        <w:ind w:firstLine="696"/>
        <w:jc w:val="both"/>
        <w:rPr>
          <w:rFonts w:ascii="Arial" w:hAnsi="Arial" w:cs="Arial"/>
          <w:lang w:val="es-ES_tradnl"/>
        </w:rPr>
      </w:pPr>
    </w:p>
    <w:p w:rsidR="00AB7B8F" w:rsidRDefault="00AB7B8F" w:rsidP="00AB7B8F">
      <w:pPr>
        <w:pStyle w:val="Prrafodelista"/>
        <w:spacing w:line="360" w:lineRule="auto"/>
        <w:ind w:left="0"/>
        <w:jc w:val="both"/>
        <w:rPr>
          <w:rFonts w:ascii="Arial" w:hAnsi="Arial" w:cs="Arial"/>
          <w:lang w:val="es-ES_tradnl"/>
        </w:rPr>
      </w:pPr>
      <w:proofErr w:type="spellStart"/>
      <w:proofErr w:type="gramStart"/>
      <w:r>
        <w:rPr>
          <w:rFonts w:ascii="Arial" w:hAnsi="Arial" w:cs="Arial"/>
          <w:lang w:val="es-ES_tradnl"/>
        </w:rPr>
        <w:t>cr</w:t>
      </w:r>
      <w:proofErr w:type="spellEnd"/>
      <w:proofErr w:type="gramEnd"/>
    </w:p>
    <w:sectPr w:rsidR="00AB7B8F" w:rsidSect="00AB7B8F">
      <w:footerReference w:type="default" r:id="rId8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FEB" w:rsidRDefault="003B1FEB" w:rsidP="008174EA">
      <w:r>
        <w:separator/>
      </w:r>
    </w:p>
  </w:endnote>
  <w:endnote w:type="continuationSeparator" w:id="0">
    <w:p w:rsidR="003B1FEB" w:rsidRDefault="003B1FEB" w:rsidP="0081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B86" w:rsidRDefault="00283B86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2416E6">
      <w:rPr>
        <w:noProof/>
      </w:rPr>
      <w:t>1</w:t>
    </w:r>
    <w:r>
      <w:rPr>
        <w:noProof/>
      </w:rPr>
      <w:fldChar w:fldCharType="end"/>
    </w:r>
  </w:p>
  <w:p w:rsidR="00283B86" w:rsidRDefault="00283B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FEB" w:rsidRDefault="003B1FEB" w:rsidP="008174EA">
      <w:r>
        <w:separator/>
      </w:r>
    </w:p>
  </w:footnote>
  <w:footnote w:type="continuationSeparator" w:id="0">
    <w:p w:rsidR="003B1FEB" w:rsidRDefault="003B1FEB" w:rsidP="0081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90105"/>
    <w:multiLevelType w:val="hybridMultilevel"/>
    <w:tmpl w:val="BCDAB09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40E63"/>
    <w:multiLevelType w:val="hybridMultilevel"/>
    <w:tmpl w:val="D2DAA556"/>
    <w:lvl w:ilvl="0" w:tplc="AC3E78BA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">
    <w:nsid w:val="3F2667C5"/>
    <w:multiLevelType w:val="hybridMultilevel"/>
    <w:tmpl w:val="8D8EF146"/>
    <w:lvl w:ilvl="0" w:tplc="45E271F0">
      <w:start w:val="1"/>
      <w:numFmt w:val="upperRoman"/>
      <w:lvlText w:val="%1)"/>
      <w:lvlJc w:val="left"/>
      <w:pPr>
        <w:ind w:left="1428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7263AEC"/>
    <w:multiLevelType w:val="hybridMultilevel"/>
    <w:tmpl w:val="6F548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9371C"/>
    <w:multiLevelType w:val="hybridMultilevel"/>
    <w:tmpl w:val="BA76EEB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A3211"/>
    <w:multiLevelType w:val="hybridMultilevel"/>
    <w:tmpl w:val="80EC69D4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645E55"/>
    <w:multiLevelType w:val="hybridMultilevel"/>
    <w:tmpl w:val="7384FBD2"/>
    <w:lvl w:ilvl="0" w:tplc="04020858">
      <w:start w:val="2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496" w:hanging="360"/>
      </w:pPr>
    </w:lvl>
    <w:lvl w:ilvl="2" w:tplc="380A001B" w:tentative="1">
      <w:start w:val="1"/>
      <w:numFmt w:val="lowerRoman"/>
      <w:lvlText w:val="%3."/>
      <w:lvlJc w:val="right"/>
      <w:pPr>
        <w:ind w:left="3216" w:hanging="180"/>
      </w:pPr>
    </w:lvl>
    <w:lvl w:ilvl="3" w:tplc="380A000F" w:tentative="1">
      <w:start w:val="1"/>
      <w:numFmt w:val="decimal"/>
      <w:lvlText w:val="%4."/>
      <w:lvlJc w:val="left"/>
      <w:pPr>
        <w:ind w:left="3936" w:hanging="360"/>
      </w:pPr>
    </w:lvl>
    <w:lvl w:ilvl="4" w:tplc="380A0019" w:tentative="1">
      <w:start w:val="1"/>
      <w:numFmt w:val="lowerLetter"/>
      <w:lvlText w:val="%5."/>
      <w:lvlJc w:val="left"/>
      <w:pPr>
        <w:ind w:left="4656" w:hanging="360"/>
      </w:pPr>
    </w:lvl>
    <w:lvl w:ilvl="5" w:tplc="380A001B" w:tentative="1">
      <w:start w:val="1"/>
      <w:numFmt w:val="lowerRoman"/>
      <w:lvlText w:val="%6."/>
      <w:lvlJc w:val="right"/>
      <w:pPr>
        <w:ind w:left="5376" w:hanging="180"/>
      </w:pPr>
    </w:lvl>
    <w:lvl w:ilvl="6" w:tplc="380A000F" w:tentative="1">
      <w:start w:val="1"/>
      <w:numFmt w:val="decimal"/>
      <w:lvlText w:val="%7."/>
      <w:lvlJc w:val="left"/>
      <w:pPr>
        <w:ind w:left="6096" w:hanging="360"/>
      </w:pPr>
    </w:lvl>
    <w:lvl w:ilvl="7" w:tplc="380A0019" w:tentative="1">
      <w:start w:val="1"/>
      <w:numFmt w:val="lowerLetter"/>
      <w:lvlText w:val="%8."/>
      <w:lvlJc w:val="left"/>
      <w:pPr>
        <w:ind w:left="6816" w:hanging="360"/>
      </w:pPr>
    </w:lvl>
    <w:lvl w:ilvl="8" w:tplc="3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74D67AE6"/>
    <w:multiLevelType w:val="hybridMultilevel"/>
    <w:tmpl w:val="5D46B29E"/>
    <w:lvl w:ilvl="0" w:tplc="3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13"/>
    <w:rsid w:val="00030D58"/>
    <w:rsid w:val="000561CE"/>
    <w:rsid w:val="00094D58"/>
    <w:rsid w:val="000B2587"/>
    <w:rsid w:val="000B3949"/>
    <w:rsid w:val="000F2F8D"/>
    <w:rsid w:val="00113E26"/>
    <w:rsid w:val="00142088"/>
    <w:rsid w:val="00147C12"/>
    <w:rsid w:val="001811D9"/>
    <w:rsid w:val="00184E22"/>
    <w:rsid w:val="001918BA"/>
    <w:rsid w:val="001B66E2"/>
    <w:rsid w:val="001F74A1"/>
    <w:rsid w:val="002416E6"/>
    <w:rsid w:val="00276A34"/>
    <w:rsid w:val="00283B86"/>
    <w:rsid w:val="002C0792"/>
    <w:rsid w:val="00352067"/>
    <w:rsid w:val="003A64D7"/>
    <w:rsid w:val="003B1FEB"/>
    <w:rsid w:val="003C0311"/>
    <w:rsid w:val="004235DD"/>
    <w:rsid w:val="00452A84"/>
    <w:rsid w:val="00460530"/>
    <w:rsid w:val="004C2A2A"/>
    <w:rsid w:val="004E2229"/>
    <w:rsid w:val="0052383D"/>
    <w:rsid w:val="005262AD"/>
    <w:rsid w:val="0057260A"/>
    <w:rsid w:val="00586583"/>
    <w:rsid w:val="00594D92"/>
    <w:rsid w:val="005F520E"/>
    <w:rsid w:val="005F7CC4"/>
    <w:rsid w:val="006074A7"/>
    <w:rsid w:val="006433F5"/>
    <w:rsid w:val="006A69D9"/>
    <w:rsid w:val="006C7DBB"/>
    <w:rsid w:val="006D2667"/>
    <w:rsid w:val="006E70DC"/>
    <w:rsid w:val="00722863"/>
    <w:rsid w:val="007230D8"/>
    <w:rsid w:val="00743B2C"/>
    <w:rsid w:val="0076204C"/>
    <w:rsid w:val="0076704E"/>
    <w:rsid w:val="007B0513"/>
    <w:rsid w:val="007B0E37"/>
    <w:rsid w:val="007F3FCD"/>
    <w:rsid w:val="008174EA"/>
    <w:rsid w:val="00841AD4"/>
    <w:rsid w:val="00865735"/>
    <w:rsid w:val="00880BC2"/>
    <w:rsid w:val="0094066C"/>
    <w:rsid w:val="009B1F70"/>
    <w:rsid w:val="009E0C2D"/>
    <w:rsid w:val="009E2993"/>
    <w:rsid w:val="00A12535"/>
    <w:rsid w:val="00A568EA"/>
    <w:rsid w:val="00A96E75"/>
    <w:rsid w:val="00AA6519"/>
    <w:rsid w:val="00AB16A3"/>
    <w:rsid w:val="00AB7B8F"/>
    <w:rsid w:val="00B34E1C"/>
    <w:rsid w:val="00B36F26"/>
    <w:rsid w:val="00B37331"/>
    <w:rsid w:val="00B62ED2"/>
    <w:rsid w:val="00B94D2F"/>
    <w:rsid w:val="00C06254"/>
    <w:rsid w:val="00C208E1"/>
    <w:rsid w:val="00C23F3C"/>
    <w:rsid w:val="00C7644E"/>
    <w:rsid w:val="00CF7B93"/>
    <w:rsid w:val="00D07F64"/>
    <w:rsid w:val="00D608D0"/>
    <w:rsid w:val="00D67659"/>
    <w:rsid w:val="00DA05CE"/>
    <w:rsid w:val="00DE56F6"/>
    <w:rsid w:val="00E360C2"/>
    <w:rsid w:val="00E44822"/>
    <w:rsid w:val="00E53A08"/>
    <w:rsid w:val="00E97E3A"/>
    <w:rsid w:val="00EC35D2"/>
    <w:rsid w:val="00EC7A4A"/>
    <w:rsid w:val="00EE4018"/>
    <w:rsid w:val="00FE11F9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70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E299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6A69D9"/>
    <w:pPr>
      <w:spacing w:line="360" w:lineRule="auto"/>
      <w:jc w:val="both"/>
    </w:pPr>
    <w:rPr>
      <w:rFonts w:ascii="Arial" w:hAnsi="Arial" w:cs="Arial"/>
      <w:bCs/>
      <w:color w:val="000000"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6A69D9"/>
    <w:rPr>
      <w:rFonts w:ascii="Arial" w:hAnsi="Arial" w:cs="Arial"/>
      <w:bCs/>
      <w:color w:val="000000"/>
      <w:sz w:val="20"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030D58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030D58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6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6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70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E299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6A69D9"/>
    <w:pPr>
      <w:spacing w:line="360" w:lineRule="auto"/>
      <w:jc w:val="both"/>
    </w:pPr>
    <w:rPr>
      <w:rFonts w:ascii="Arial" w:hAnsi="Arial" w:cs="Arial"/>
      <w:bCs/>
      <w:color w:val="000000"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6A69D9"/>
    <w:rPr>
      <w:rFonts w:ascii="Arial" w:hAnsi="Arial" w:cs="Arial"/>
      <w:bCs/>
      <w:color w:val="000000"/>
      <w:sz w:val="20"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030D58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030D58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6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6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2948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2013-17-1-0004124</vt:lpstr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2013-17-1-0004124</dc:title>
  <dc:creator>MARIZA GONZALEZ PADILLA</dc:creator>
  <cp:lastModifiedBy>Miriam Cristina Rivero</cp:lastModifiedBy>
  <cp:revision>2</cp:revision>
  <cp:lastPrinted>2015-06-05T13:24:00Z</cp:lastPrinted>
  <dcterms:created xsi:type="dcterms:W3CDTF">2015-06-05T13:24:00Z</dcterms:created>
  <dcterms:modified xsi:type="dcterms:W3CDTF">2015-06-05T13:24:00Z</dcterms:modified>
</cp:coreProperties>
</file>