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E2B" w:rsidRPr="00C00E2B" w:rsidRDefault="00C00E2B" w:rsidP="00C00E2B">
      <w:pPr>
        <w:tabs>
          <w:tab w:val="center" w:pos="4253"/>
        </w:tabs>
        <w:suppressAutoHyphens/>
        <w:jc w:val="center"/>
        <w:rPr>
          <w:rFonts w:eastAsia="Calibri" w:cs="Arial"/>
          <w:b/>
          <w:szCs w:val="20"/>
          <w:lang w:val="es-ES_tradnl" w:eastAsia="en-US"/>
        </w:rPr>
      </w:pPr>
      <w:bookmarkStart w:id="0" w:name="_GoBack"/>
      <w:bookmarkEnd w:id="0"/>
      <w:r w:rsidRPr="00C00E2B">
        <w:rPr>
          <w:rFonts w:eastAsia="Calibri" w:cs="Arial"/>
          <w:b/>
          <w:szCs w:val="20"/>
          <w:lang w:val="es-ES_tradnl" w:eastAsia="en-US"/>
        </w:rPr>
        <w:t>RESOLUCION ADOPTADA POR EL</w:t>
      </w:r>
    </w:p>
    <w:p w:rsidR="00C00E2B" w:rsidRPr="00C00E2B" w:rsidRDefault="00C00E2B" w:rsidP="00C00E2B">
      <w:pPr>
        <w:tabs>
          <w:tab w:val="left" w:pos="-720"/>
        </w:tabs>
        <w:suppressAutoHyphens/>
        <w:jc w:val="center"/>
        <w:rPr>
          <w:rFonts w:eastAsia="Calibri" w:cs="Arial"/>
          <w:b/>
          <w:szCs w:val="20"/>
          <w:lang w:val="es-ES_tradnl" w:eastAsia="en-US"/>
        </w:rPr>
      </w:pPr>
    </w:p>
    <w:p w:rsidR="00C00E2B" w:rsidRPr="00C00E2B" w:rsidRDefault="00C00E2B" w:rsidP="00C00E2B">
      <w:pPr>
        <w:tabs>
          <w:tab w:val="center" w:pos="4253"/>
        </w:tabs>
        <w:suppressAutoHyphens/>
        <w:jc w:val="center"/>
        <w:rPr>
          <w:rFonts w:eastAsia="Calibri" w:cs="Arial"/>
          <w:b/>
          <w:szCs w:val="20"/>
          <w:lang w:val="es-ES_tradnl" w:eastAsia="en-US"/>
        </w:rPr>
      </w:pPr>
      <w:r w:rsidRPr="00C00E2B">
        <w:rPr>
          <w:rFonts w:eastAsia="Calibri" w:cs="Arial"/>
          <w:b/>
          <w:szCs w:val="20"/>
          <w:lang w:val="es-ES_tradnl" w:eastAsia="en-US"/>
        </w:rPr>
        <w:t>TRIBUNAL DE CUENTAS</w:t>
      </w:r>
    </w:p>
    <w:p w:rsidR="00C00E2B" w:rsidRPr="00C00E2B" w:rsidRDefault="00C00E2B" w:rsidP="00C00E2B">
      <w:pPr>
        <w:tabs>
          <w:tab w:val="left" w:pos="-720"/>
        </w:tabs>
        <w:suppressAutoHyphens/>
        <w:jc w:val="center"/>
        <w:rPr>
          <w:rFonts w:eastAsia="Calibri" w:cs="Arial"/>
          <w:b/>
          <w:szCs w:val="20"/>
          <w:lang w:val="es-ES_tradnl" w:eastAsia="en-US"/>
        </w:rPr>
      </w:pPr>
    </w:p>
    <w:p w:rsidR="00C00E2B" w:rsidRPr="00C00E2B" w:rsidRDefault="00C00E2B" w:rsidP="00C00E2B">
      <w:pPr>
        <w:tabs>
          <w:tab w:val="center" w:pos="4253"/>
        </w:tabs>
        <w:suppressAutoHyphens/>
        <w:jc w:val="center"/>
        <w:rPr>
          <w:rFonts w:eastAsia="Calibri" w:cs="Arial"/>
          <w:b/>
          <w:szCs w:val="20"/>
          <w:lang w:val="es-ES_tradnl" w:eastAsia="en-US"/>
        </w:rPr>
      </w:pPr>
      <w:r w:rsidRPr="00C00E2B">
        <w:rPr>
          <w:rFonts w:eastAsia="Calibri" w:cs="Arial"/>
          <w:b/>
          <w:szCs w:val="20"/>
          <w:lang w:val="es-ES_tradnl" w:eastAsia="en-US"/>
        </w:rPr>
        <w:t>EN SESION DE FECHA 3 DE JUNIO DE 2015</w:t>
      </w:r>
    </w:p>
    <w:p w:rsidR="00C00E2B" w:rsidRPr="00C00E2B" w:rsidRDefault="00C00E2B" w:rsidP="00C00E2B">
      <w:pPr>
        <w:tabs>
          <w:tab w:val="center" w:pos="4253"/>
        </w:tabs>
        <w:suppressAutoHyphens/>
        <w:jc w:val="center"/>
        <w:rPr>
          <w:rFonts w:eastAsia="Calibri" w:cs="Arial"/>
          <w:b/>
          <w:szCs w:val="20"/>
          <w:lang w:val="es-ES_tradnl" w:eastAsia="en-US"/>
        </w:rPr>
      </w:pPr>
    </w:p>
    <w:p w:rsidR="00C00E2B" w:rsidRPr="00C00E2B" w:rsidRDefault="00C00E2B" w:rsidP="00C00E2B">
      <w:pPr>
        <w:tabs>
          <w:tab w:val="center" w:pos="4253"/>
        </w:tabs>
        <w:suppressAutoHyphens/>
        <w:jc w:val="center"/>
        <w:rPr>
          <w:rFonts w:eastAsia="Calibri" w:cs="Arial"/>
          <w:b/>
          <w:szCs w:val="20"/>
          <w:lang w:val="es-ES_tradnl" w:eastAsia="en-US"/>
        </w:rPr>
      </w:pPr>
      <w:r w:rsidRPr="00C00E2B">
        <w:rPr>
          <w:rFonts w:eastAsia="Calibri" w:cs="Arial"/>
          <w:b/>
          <w:szCs w:val="20"/>
          <w:lang w:val="es-ES_tradnl" w:eastAsia="en-US"/>
        </w:rPr>
        <w:t>(E. E. Nº 2015-17-1-000</w:t>
      </w:r>
      <w:r>
        <w:rPr>
          <w:rFonts w:eastAsia="Calibri" w:cs="Arial"/>
          <w:b/>
          <w:szCs w:val="20"/>
          <w:lang w:val="es-ES_tradnl" w:eastAsia="en-US"/>
        </w:rPr>
        <w:t>2497</w:t>
      </w:r>
      <w:r w:rsidRPr="00C00E2B">
        <w:rPr>
          <w:rFonts w:eastAsia="Calibri" w:cs="Arial"/>
          <w:b/>
          <w:szCs w:val="20"/>
          <w:lang w:val="es-ES_tradnl" w:eastAsia="en-US"/>
        </w:rPr>
        <w:t xml:space="preserve">, </w:t>
      </w:r>
      <w:proofErr w:type="spellStart"/>
      <w:r w:rsidRPr="00C00E2B">
        <w:rPr>
          <w:rFonts w:eastAsia="Calibri" w:cs="Arial"/>
          <w:b/>
          <w:szCs w:val="20"/>
          <w:lang w:val="es-ES_tradnl" w:eastAsia="en-US"/>
        </w:rPr>
        <w:t>Ent</w:t>
      </w:r>
      <w:proofErr w:type="spellEnd"/>
      <w:r w:rsidRPr="00C00E2B">
        <w:rPr>
          <w:rFonts w:eastAsia="Calibri" w:cs="Arial"/>
          <w:b/>
          <w:szCs w:val="20"/>
          <w:lang w:val="es-ES_tradnl" w:eastAsia="en-US"/>
        </w:rPr>
        <w:t xml:space="preserve">. N° </w:t>
      </w:r>
      <w:r>
        <w:rPr>
          <w:rFonts w:eastAsia="Calibri" w:cs="Arial"/>
          <w:b/>
          <w:szCs w:val="20"/>
          <w:lang w:val="es-ES_tradnl" w:eastAsia="en-US"/>
        </w:rPr>
        <w:t>2063</w:t>
      </w:r>
      <w:r w:rsidRPr="00C00E2B">
        <w:rPr>
          <w:rFonts w:eastAsia="Calibri" w:cs="Arial"/>
          <w:b/>
          <w:szCs w:val="20"/>
          <w:lang w:val="es-ES_tradnl" w:eastAsia="en-US"/>
        </w:rPr>
        <w:t>/15)</w:t>
      </w:r>
    </w:p>
    <w:p w:rsidR="00C00E2B" w:rsidRPr="00C00E2B" w:rsidRDefault="00C00E2B" w:rsidP="00C00E2B">
      <w:pPr>
        <w:suppressAutoHyphens/>
        <w:rPr>
          <w:rFonts w:ascii="Bookman Old Style" w:hAnsi="Bookman Old Style"/>
          <w:szCs w:val="20"/>
          <w:lang w:val="es-MX"/>
        </w:rPr>
      </w:pPr>
    </w:p>
    <w:p w:rsidR="00C00E2B" w:rsidRPr="00C00E2B" w:rsidRDefault="00C00E2B" w:rsidP="00C00E2B">
      <w:pPr>
        <w:suppressAutoHyphens/>
        <w:spacing w:line="360" w:lineRule="auto"/>
        <w:rPr>
          <w:szCs w:val="20"/>
          <w:lang w:eastAsia="ar-SA"/>
        </w:rPr>
      </w:pPr>
    </w:p>
    <w:p w:rsidR="00E736DF" w:rsidRDefault="008D7F26" w:rsidP="00232157">
      <w:pPr>
        <w:spacing w:line="360" w:lineRule="auto"/>
        <w:ind w:firstLine="851"/>
        <w:jc w:val="both"/>
      </w:pPr>
      <w:r>
        <w:rPr>
          <w:b/>
        </w:rPr>
        <w:t>VISTO:</w:t>
      </w:r>
      <w:r>
        <w:t xml:space="preserve"> que este Tribunal ha examinado el </w:t>
      </w:r>
      <w:r w:rsidR="00B81C39">
        <w:t>“</w:t>
      </w:r>
      <w:r>
        <w:t>Informe Trimestral de la Restitución de los Créditos de los Bancos en Liquidación a</w:t>
      </w:r>
      <w:r w:rsidR="00B81C39">
        <w:t>l Préstamo BID</w:t>
      </w:r>
      <w:r>
        <w:t xml:space="preserve"> 1155</w:t>
      </w:r>
      <w:r w:rsidR="00B81C39">
        <w:t>/OC-UR”</w:t>
      </w:r>
      <w:r>
        <w:t xml:space="preserve"> correspondiente al período 01/</w:t>
      </w:r>
      <w:r w:rsidR="00A22B28">
        <w:t>12</w:t>
      </w:r>
      <w:r>
        <w:t xml:space="preserve">/2014 al </w:t>
      </w:r>
      <w:r w:rsidR="00A22B28">
        <w:t>28/02/2015</w:t>
      </w:r>
      <w:r>
        <w:t>;</w:t>
      </w:r>
    </w:p>
    <w:p w:rsidR="00E736DF" w:rsidRDefault="008D7F26" w:rsidP="00232157">
      <w:pPr>
        <w:spacing w:line="360" w:lineRule="auto"/>
        <w:ind w:firstLine="851"/>
        <w:jc w:val="both"/>
      </w:pPr>
      <w:r>
        <w:rPr>
          <w:b/>
        </w:rPr>
        <w:t>RESULTANDO:</w:t>
      </w:r>
      <w:r>
        <w:t xml:space="preserve"> </w:t>
      </w:r>
      <w:r>
        <w:rPr>
          <w:lang w:val="es-ES_tradnl"/>
        </w:rPr>
        <w:t xml:space="preserve">que el examen practicado </w:t>
      </w:r>
      <w:r w:rsidR="00A22B28">
        <w:rPr>
          <w:lang w:val="es-ES_tradnl"/>
        </w:rPr>
        <w:t>se efectuó mediante la aplicación de</w:t>
      </w:r>
      <w:r>
        <w:rPr>
          <w:lang w:val="es-ES_tradnl"/>
        </w:rPr>
        <w:t xml:space="preserve"> los Principios Fundamentales de Auditoria (ISSAI 100 y 200) y las Directrices de Auditoría Financiera (ISSAI 1000 a 1810) de la Organización Internacional de Entidades Fiscalizadoras Superiores (INTOSAI), </w:t>
      </w:r>
      <w:r>
        <w:t>y con los requerimientos de auditoría independiente emitidos por el Banco Interamericano de Desarrollo (BID) en las “Guías de Informes Financieros y Auditoría Externa de las Operaciones Financiadas por el Banco Interamericano de Desarrollo”</w:t>
      </w:r>
      <w:r>
        <w:rPr>
          <w:lang w:val="es-ES_tradnl"/>
        </w:rPr>
        <w:t>;</w:t>
      </w:r>
    </w:p>
    <w:p w:rsidR="00E736DF" w:rsidRDefault="008D7F26" w:rsidP="00232157">
      <w:pPr>
        <w:spacing w:line="360" w:lineRule="auto"/>
        <w:ind w:firstLine="851"/>
        <w:jc w:val="both"/>
      </w:pPr>
      <w:r>
        <w:rPr>
          <w:b/>
        </w:rPr>
        <w:t>CONSIDERANDO:</w:t>
      </w:r>
      <w:r>
        <w:t xml:space="preserve"> que las conclusiones y las evidencias obtenidas son las que se expresan en el Informe de Auditoría, que incluye Dictamen e Informe a la Admi</w:t>
      </w:r>
      <w:r w:rsidR="006870B1">
        <w:t>nistración;</w:t>
      </w:r>
    </w:p>
    <w:p w:rsidR="00E736DF" w:rsidRDefault="008D7F26" w:rsidP="00232157">
      <w:pPr>
        <w:spacing w:line="360" w:lineRule="auto"/>
        <w:ind w:firstLine="851"/>
        <w:jc w:val="both"/>
      </w:pPr>
      <w:r>
        <w:rPr>
          <w:b/>
        </w:rPr>
        <w:t>ATENTO:</w:t>
      </w:r>
      <w:r>
        <w:t xml:space="preserve"> a lo establecido en el Acuerdo de Ejecución celebrado entre el Banco Central del Uruguay y el Banco Interamericano de Desarrollo y al </w:t>
      </w:r>
      <w:r w:rsidR="00232157">
        <w:t>A</w:t>
      </w:r>
      <w:r>
        <w:t>rt</w:t>
      </w:r>
      <w:r w:rsidR="00232157">
        <w:t>ículo</w:t>
      </w:r>
      <w:r>
        <w:t xml:space="preserve"> 111 del T.O.C.A.F.;</w:t>
      </w:r>
    </w:p>
    <w:p w:rsidR="00E736DF" w:rsidRDefault="008D7F26">
      <w:pPr>
        <w:pStyle w:val="Ttulo3"/>
        <w:spacing w:line="360" w:lineRule="auto"/>
      </w:pPr>
      <w:r>
        <w:t>EL TRIBUNAL ACUERDA</w:t>
      </w:r>
    </w:p>
    <w:p w:rsidR="00E736DF" w:rsidRDefault="008D7F26">
      <w:pPr>
        <w:numPr>
          <w:ilvl w:val="0"/>
          <w:numId w:val="1"/>
        </w:numPr>
        <w:spacing w:line="360" w:lineRule="auto"/>
        <w:ind w:left="360" w:hanging="360"/>
        <w:jc w:val="both"/>
      </w:pPr>
      <w:r>
        <w:t>Expedirse en los términos del Info</w:t>
      </w:r>
      <w:r w:rsidR="00232157">
        <w:t>rme de Auditoría que se adjunta;</w:t>
      </w:r>
    </w:p>
    <w:p w:rsidR="00E736DF" w:rsidRDefault="008D7F26">
      <w:pPr>
        <w:numPr>
          <w:ilvl w:val="0"/>
          <w:numId w:val="1"/>
        </w:numPr>
        <w:spacing w:line="360" w:lineRule="auto"/>
        <w:ind w:left="360" w:hanging="360"/>
        <w:jc w:val="both"/>
      </w:pPr>
      <w:r>
        <w:t>Remitir el Informe de Auditoria al B</w:t>
      </w:r>
      <w:r w:rsidR="00A22B28">
        <w:t>ID</w:t>
      </w:r>
      <w:r>
        <w:t xml:space="preserve"> y al B</w:t>
      </w:r>
      <w:r w:rsidR="00A22B28">
        <w:t>CU</w:t>
      </w:r>
      <w:r w:rsidR="00232157">
        <w:t>;</w:t>
      </w:r>
    </w:p>
    <w:p w:rsidR="00E736DF" w:rsidRDefault="008D7F26">
      <w:pPr>
        <w:numPr>
          <w:ilvl w:val="0"/>
          <w:numId w:val="1"/>
        </w:numPr>
        <w:spacing w:line="360" w:lineRule="auto"/>
        <w:ind w:left="360" w:hanging="360"/>
        <w:jc w:val="both"/>
      </w:pPr>
      <w:r>
        <w:t>Dar cuenta a la Asamblea General.</w:t>
      </w:r>
    </w:p>
    <w:p w:rsidR="00AB1425" w:rsidRDefault="00AB1425" w:rsidP="00AB1425">
      <w:pPr>
        <w:spacing w:line="360" w:lineRule="auto"/>
        <w:jc w:val="both"/>
      </w:pPr>
    </w:p>
    <w:p w:rsidR="006870B1" w:rsidRDefault="006870B1" w:rsidP="00AB1425">
      <w:pPr>
        <w:spacing w:line="360" w:lineRule="auto"/>
        <w:jc w:val="both"/>
      </w:pPr>
    </w:p>
    <w:p w:rsidR="00AB1425" w:rsidRDefault="00AB1425">
      <w:pPr>
        <w:spacing w:line="360" w:lineRule="auto"/>
        <w:jc w:val="center"/>
        <w:rPr>
          <w:b/>
        </w:rPr>
      </w:pPr>
      <w:r>
        <w:rPr>
          <w:b/>
        </w:rPr>
        <w:t>DICTAMEN</w:t>
      </w:r>
    </w:p>
    <w:p w:rsidR="00AB1425" w:rsidRDefault="00AB1425" w:rsidP="00AB1425">
      <w:pPr>
        <w:pStyle w:val="Ttulo4"/>
        <w:numPr>
          <w:ilvl w:val="3"/>
          <w:numId w:val="2"/>
        </w:numPr>
        <w:spacing w:line="360" w:lineRule="auto"/>
      </w:pPr>
    </w:p>
    <w:p w:rsidR="00AB1425" w:rsidRDefault="00AB1425">
      <w:pPr>
        <w:pStyle w:val="Textoindependiente2"/>
        <w:spacing w:line="360" w:lineRule="auto"/>
      </w:pPr>
      <w:r>
        <w:t>El Tribunal de Cuentas ha examinado el “Informe Trimestral de la Restitución de los Créditos de los Bancos en Liquidación al Préstamo BID 1155/OC-UR” correspondiente al período 01/12/2014 al 28/02/2015.</w:t>
      </w:r>
    </w:p>
    <w:p w:rsidR="00AB1425" w:rsidRDefault="00AB1425" w:rsidP="00AB1425">
      <w:pPr>
        <w:pStyle w:val="Ttulo4"/>
        <w:numPr>
          <w:ilvl w:val="3"/>
          <w:numId w:val="2"/>
        </w:numPr>
        <w:spacing w:line="360" w:lineRule="auto"/>
      </w:pPr>
    </w:p>
    <w:p w:rsidR="00AB1425" w:rsidRDefault="00AB1425">
      <w:pPr>
        <w:pStyle w:val="Textoindependiente2"/>
        <w:spacing w:line="360" w:lineRule="auto"/>
        <w:rPr>
          <w:b/>
        </w:rPr>
      </w:pPr>
      <w:r>
        <w:rPr>
          <w:b/>
        </w:rPr>
        <w:t>Responsabilidad de la Dirección</w:t>
      </w:r>
    </w:p>
    <w:p w:rsidR="00AB1425" w:rsidRDefault="00AB1425" w:rsidP="006870B1">
      <w:pPr>
        <w:pStyle w:val="Textoindependiente2"/>
        <w:spacing w:line="360" w:lineRule="auto"/>
      </w:pPr>
      <w:r>
        <w:t>La Dirección del Banco Central del Uruguay es responsable por la preparación y la razonable presentación de estos estados financieros de acuerdo con las “Guías de Informes Financieros y Auditoría Externa de las Operaciones Financiadas por el Banco Interamericano de Desarrollo (BID)”</w:t>
      </w:r>
      <w:r>
        <w:rPr>
          <w:i/>
        </w:rPr>
        <w:t xml:space="preserve">. </w:t>
      </w:r>
      <w: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AB1425" w:rsidRDefault="00AB1425">
      <w:pPr>
        <w:pStyle w:val="Textoindependiente2"/>
        <w:spacing w:line="360" w:lineRule="auto"/>
      </w:pPr>
    </w:p>
    <w:p w:rsidR="00AB1425" w:rsidRDefault="00AB1425">
      <w:pPr>
        <w:pStyle w:val="Textoindependiente2"/>
        <w:spacing w:line="360" w:lineRule="auto"/>
        <w:rPr>
          <w:b/>
        </w:rPr>
      </w:pPr>
      <w:r>
        <w:rPr>
          <w:b/>
        </w:rPr>
        <w:t>Responsabilidad del Auditor</w:t>
      </w:r>
    </w:p>
    <w:p w:rsidR="00AB1425" w:rsidRDefault="00AB1425" w:rsidP="006870B1">
      <w:pPr>
        <w:spacing w:line="360" w:lineRule="auto"/>
        <w:jc w:val="both"/>
        <w:rPr>
          <w:spacing w:val="-3"/>
        </w:rPr>
      </w:pPr>
      <w:r>
        <w:t xml:space="preserve">La responsabilidad del Tribunal de Cuentas es expresar una opinión sobre dicho informe basada en la auditoría. </w:t>
      </w:r>
      <w:r>
        <w:rPr>
          <w:spacing w:val="-3"/>
        </w:rPr>
        <w:t xml:space="preserve">Esta auditoría fue practicada de acuerdo con </w:t>
      </w:r>
      <w:r>
        <w:t xml:space="preserve">los Principios Fundamentales de Auditoría (ISSAI 100 y 200) y las Directrices de Auditoría Financiera (ISSAI 1000 a 1810) de la  Organización Internacional de Entidades Fiscalizadoras Superiores (INTOSAI), </w:t>
      </w:r>
      <w:r>
        <w:rPr>
          <w:rFonts w:cs="Arial"/>
        </w:rPr>
        <w:t>con los requerimientos de auditoría independiente emitidos por el Banco Interamericano de Desarrollo y las “Guías de Informes Financieros y Auditoría Externa de las Operaciones Financiadas por el Banco Interamericano de Desarrollo (BID)”.</w:t>
      </w:r>
      <w:r>
        <w:rPr>
          <w:spacing w:val="-3"/>
        </w:rPr>
        <w:t xml:space="preserve"> Estas normas requieren que se cumpla con requisitos éticos, se planifique y se realice la auditoría para obtener seguridad razonable acerca de si los estados financieros están libres de errores significativos.</w:t>
      </w:r>
    </w:p>
    <w:p w:rsidR="00AB1425" w:rsidRDefault="00AB1425" w:rsidP="006870B1">
      <w:pPr>
        <w:spacing w:line="360" w:lineRule="auto"/>
        <w:jc w:val="both"/>
      </w:pPr>
    </w:p>
    <w:p w:rsidR="00AB1425" w:rsidRDefault="00AB1425" w:rsidP="006870B1">
      <w:pPr>
        <w:pStyle w:val="Textoindependiente"/>
        <w:suppressAutoHyphens w:val="0"/>
        <w:spacing w:after="0" w:line="360" w:lineRule="auto"/>
        <w:jc w:val="both"/>
        <w:rPr>
          <w:rFonts w:ascii="Arial" w:hAnsi="Arial"/>
          <w:sz w:val="24"/>
        </w:rPr>
      </w:pPr>
      <w:r>
        <w:rPr>
          <w:rFonts w:ascii="Arial" w:hAnsi="Arial"/>
          <w:sz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informe, ya sea debido a fraude o error. Al efectuar la evaluación de riesgos, el auditor considera los aspectos de control interno de la entidad relevantes para la preparación y presentación razonable del informe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w:t>
      </w:r>
      <w:r w:rsidR="006870B1">
        <w:rPr>
          <w:rFonts w:ascii="Arial" w:hAnsi="Arial"/>
          <w:sz w:val="24"/>
        </w:rPr>
        <w:t>esentación general del informe.</w:t>
      </w:r>
    </w:p>
    <w:p w:rsidR="00AB1425" w:rsidRDefault="00AB1425" w:rsidP="006870B1">
      <w:pPr>
        <w:spacing w:line="360" w:lineRule="auto"/>
        <w:jc w:val="both"/>
      </w:pPr>
    </w:p>
    <w:p w:rsidR="00AB1425" w:rsidRDefault="00AB1425" w:rsidP="006870B1">
      <w:pPr>
        <w:pStyle w:val="Textoindependiente"/>
        <w:suppressAutoHyphens w:val="0"/>
        <w:spacing w:after="0" w:line="360" w:lineRule="auto"/>
        <w:jc w:val="both"/>
        <w:rPr>
          <w:rFonts w:ascii="Arial" w:hAnsi="Arial"/>
          <w:sz w:val="24"/>
        </w:rPr>
      </w:pPr>
      <w:r>
        <w:rPr>
          <w:rFonts w:ascii="Arial" w:hAnsi="Arial"/>
          <w:sz w:val="24"/>
        </w:rPr>
        <w:t>Se considera que la evidencia de auditoría obtenida brinda una base suficiente y apropiada para sustentar la opinión.</w:t>
      </w:r>
    </w:p>
    <w:p w:rsidR="00AB1425" w:rsidRDefault="00AB1425">
      <w:pPr>
        <w:spacing w:line="360" w:lineRule="auto"/>
        <w:jc w:val="both"/>
      </w:pPr>
    </w:p>
    <w:p w:rsidR="00AB1425" w:rsidRDefault="00AB1425">
      <w:pPr>
        <w:pStyle w:val="Ttulo8"/>
        <w:spacing w:line="360" w:lineRule="auto"/>
      </w:pPr>
      <w:r>
        <w:t>Opinión</w:t>
      </w:r>
    </w:p>
    <w:p w:rsidR="00AB1425" w:rsidRDefault="00AB1425" w:rsidP="006870B1">
      <w:pPr>
        <w:pStyle w:val="Sangra3detindependiente"/>
        <w:ind w:firstLine="0"/>
      </w:pPr>
      <w:r>
        <w:t>En opinión del Tribunal de Cuentas, el Informe referido precedentemente, presenta razonablemente en todos sus aspectos importantes, los montos de los vencimientos trimestrales de la cartera de subpréstamos descontados en el Programa por los bancos en liquidación correspondientes al período 01/12/2014 al 28/02/2015, de acuerdo con las “Guías de Informes Financieros y Auditoría Externa de las Operaciones Financiadas por el Banco Interamericano de Desarrollo (BID)”.</w:t>
      </w:r>
    </w:p>
    <w:p w:rsidR="00AB1425" w:rsidRDefault="00AB1425" w:rsidP="006870B1">
      <w:pPr>
        <w:spacing w:line="360" w:lineRule="auto"/>
        <w:jc w:val="right"/>
      </w:pPr>
      <w:r>
        <w:t>Montevideo, 26 de mayo de 2015</w:t>
      </w:r>
    </w:p>
    <w:p w:rsidR="00AB1425" w:rsidRDefault="00AB1425" w:rsidP="00AB1425">
      <w:pPr>
        <w:spacing w:line="360" w:lineRule="auto"/>
        <w:jc w:val="both"/>
      </w:pPr>
    </w:p>
    <w:p w:rsidR="006870B1" w:rsidRDefault="006870B1" w:rsidP="00AB1425">
      <w:pPr>
        <w:spacing w:line="360" w:lineRule="auto"/>
        <w:jc w:val="both"/>
      </w:pPr>
    </w:p>
    <w:p w:rsidR="006870B1" w:rsidRDefault="006870B1" w:rsidP="00AB1425">
      <w:pPr>
        <w:spacing w:line="360" w:lineRule="auto"/>
        <w:jc w:val="both"/>
      </w:pPr>
    </w:p>
    <w:p w:rsidR="006870B1" w:rsidRDefault="006870B1" w:rsidP="00AB1425">
      <w:pPr>
        <w:spacing w:line="360" w:lineRule="auto"/>
        <w:jc w:val="both"/>
      </w:pPr>
    </w:p>
    <w:p w:rsidR="00AB1425" w:rsidRDefault="00AB1425" w:rsidP="00AB1425">
      <w:pPr>
        <w:pStyle w:val="Ttulo2"/>
        <w:numPr>
          <w:ilvl w:val="1"/>
          <w:numId w:val="2"/>
        </w:numPr>
        <w:jc w:val="center"/>
        <w:rPr>
          <w:b/>
        </w:rPr>
      </w:pPr>
      <w:r>
        <w:rPr>
          <w:b/>
        </w:rPr>
        <w:t>INFORME A LA ADMINISTRACIÓN</w:t>
      </w:r>
    </w:p>
    <w:p w:rsidR="00AB1425" w:rsidRDefault="00AB1425">
      <w:pPr>
        <w:spacing w:line="360" w:lineRule="auto"/>
      </w:pPr>
    </w:p>
    <w:p w:rsidR="00AB1425" w:rsidRDefault="00AB1425">
      <w:pPr>
        <w:spacing w:line="360" w:lineRule="auto"/>
        <w:ind w:firstLine="708"/>
        <w:jc w:val="both"/>
      </w:pPr>
      <w:r>
        <w:t>El Tribunal de Cuentas ha examinado el “Informe Trimestral de la Restitución de los Créditos de los Bancos en Liquidación al Préstamo BID 1155/OC-UR” correspondiente al período 01/12/2014 al 28/02/2015.</w:t>
      </w:r>
    </w:p>
    <w:p w:rsidR="00AB1425" w:rsidRDefault="00AB1425">
      <w:pPr>
        <w:spacing w:line="360" w:lineRule="auto"/>
      </w:pPr>
    </w:p>
    <w:p w:rsidR="00AB1425" w:rsidRDefault="00AB1425">
      <w:pPr>
        <w:spacing w:line="360" w:lineRule="auto"/>
        <w:ind w:firstLine="708"/>
        <w:jc w:val="both"/>
      </w:pPr>
      <w:r>
        <w:t>De conformidad con el Numeral 2 del Acuerdo celebrado entre el Banco Central del Uruguay y el Banco Interamericano de Desarrollo de fecha 12 de junio de 2003, el Banco Central del Uruguay deberá emitir un informe sobre los montos de los vencimientos trimestrales de la cartera de subpréstamos descontados en el Programa por los bancos en liquidación: Comercial, Montevideo y de Crédito, así como sobre la reposición de los mismos por parte del BCU en los fondos de recuperaciones disponibles.</w:t>
      </w:r>
    </w:p>
    <w:p w:rsidR="00AB1425" w:rsidRDefault="00AB1425" w:rsidP="006870B1">
      <w:pPr>
        <w:spacing w:line="360" w:lineRule="auto"/>
        <w:ind w:firstLine="708"/>
        <w:jc w:val="both"/>
      </w:pPr>
    </w:p>
    <w:p w:rsidR="00AB1425" w:rsidRDefault="00AB1425">
      <w:pPr>
        <w:spacing w:line="360" w:lineRule="auto"/>
        <w:ind w:firstLine="708"/>
        <w:jc w:val="both"/>
      </w:pPr>
      <w:r>
        <w:t xml:space="preserve">Al 28/02/2015 los montos a reembolsar a los fondos de recuperación disponibles ascendían a </w:t>
      </w:r>
      <w:r w:rsidRPr="00C41B96">
        <w:t xml:space="preserve">U$S </w:t>
      </w:r>
      <w:r>
        <w:t>199.727,48</w:t>
      </w:r>
      <w:r w:rsidR="006870B1">
        <w:t xml:space="preserve"> por concepto de capital y U$S</w:t>
      </w:r>
      <w:r>
        <w:t>11.488</w:t>
      </w:r>
      <w:proofErr w:type="gramStart"/>
      <w:r>
        <w:t>,31</w:t>
      </w:r>
      <w:proofErr w:type="gramEnd"/>
      <w:r w:rsidRPr="00C41B96">
        <w:t xml:space="preserve"> por concepto de intereses,</w:t>
      </w:r>
      <w:r>
        <w:t xml:space="preserve"> correspondientes al trimestre diciembre </w:t>
      </w:r>
      <w:r w:rsidRPr="00C41B96">
        <w:t xml:space="preserve">2014 a </w:t>
      </w:r>
      <w:r>
        <w:t>febrero</w:t>
      </w:r>
      <w:r w:rsidRPr="00C41B96">
        <w:t xml:space="preserve"> 201</w:t>
      </w:r>
      <w:r>
        <w:t>5</w:t>
      </w:r>
      <w:r w:rsidRPr="00C41B96">
        <w:t xml:space="preserve">. </w:t>
      </w:r>
      <w:r>
        <w:t>El registro por el reintegro de d</w:t>
      </w:r>
      <w:r w:rsidRPr="00C41B96">
        <w:t xml:space="preserve">ichos importes por el BCU </w:t>
      </w:r>
      <w:r>
        <w:t xml:space="preserve">se efectuó </w:t>
      </w:r>
      <w:r w:rsidRPr="00C41B96">
        <w:t>el día 3</w:t>
      </w:r>
      <w:r>
        <w:t>1</w:t>
      </w:r>
      <w:r w:rsidRPr="00C41B96">
        <w:t xml:space="preserve"> de </w:t>
      </w:r>
      <w:r>
        <w:t>marzo</w:t>
      </w:r>
      <w:r w:rsidRPr="00C41B96">
        <w:t xml:space="preserve"> de</w:t>
      </w:r>
      <w:r>
        <w:t xml:space="preserve"> </w:t>
      </w:r>
      <w:r w:rsidRPr="00C41B96">
        <w:t>201</w:t>
      </w:r>
      <w:r>
        <w:t>5</w:t>
      </w:r>
      <w:r w:rsidRPr="00C41B96">
        <w:t>.</w:t>
      </w:r>
    </w:p>
    <w:p w:rsidR="00AB1425" w:rsidRDefault="00AB1425" w:rsidP="00AB1425">
      <w:pPr>
        <w:pStyle w:val="Ttulo2"/>
        <w:numPr>
          <w:ilvl w:val="1"/>
          <w:numId w:val="2"/>
        </w:numPr>
      </w:pPr>
      <w:r>
        <w:t>Montevideo, 26 de mayo de 2015</w:t>
      </w:r>
    </w:p>
    <w:p w:rsidR="00AB1425" w:rsidRPr="00AB1425" w:rsidRDefault="00AB1425" w:rsidP="00AB1425">
      <w:pPr>
        <w:rPr>
          <w:rFonts w:cs="Arial"/>
        </w:rPr>
      </w:pPr>
      <w:proofErr w:type="spellStart"/>
      <w:proofErr w:type="gramStart"/>
      <w:r w:rsidRPr="00B60C3A">
        <w:rPr>
          <w:rFonts w:cs="Arial"/>
        </w:rPr>
        <w:t>ag</w:t>
      </w:r>
      <w:proofErr w:type="spellEnd"/>
      <w:proofErr w:type="gramEnd"/>
    </w:p>
    <w:sectPr w:rsidR="00AB1425" w:rsidRPr="00AB1425" w:rsidSect="003031E6">
      <w:pgSz w:w="11906" w:h="16838" w:code="9"/>
      <w:pgMar w:top="3289" w:right="1701" w:bottom="1134" w:left="1701" w:header="720" w:footer="720"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BE8BC66"/>
    <w:name w:val="WW8Num1"/>
    <w:lvl w:ilvl="0">
      <w:start w:val="1"/>
      <w:numFmt w:val="decimal"/>
      <w:lvlText w:val="%1)"/>
      <w:lvlJc w:val="left"/>
      <w:pPr>
        <w:tabs>
          <w:tab w:val="num" w:pos="360"/>
        </w:tabs>
      </w:pPr>
      <w:rPr>
        <w:b/>
      </w:rPr>
    </w:lvl>
  </w:abstractNum>
  <w:abstractNum w:abstractNumId="1">
    <w:nsid w:val="00000004"/>
    <w:multiLevelType w:val="multilevel"/>
    <w:tmpl w:val="00000004"/>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75"/>
    <w:rsid w:val="002264EB"/>
    <w:rsid w:val="00232157"/>
    <w:rsid w:val="003031E6"/>
    <w:rsid w:val="006870B1"/>
    <w:rsid w:val="00721512"/>
    <w:rsid w:val="008D7F26"/>
    <w:rsid w:val="009E61E7"/>
    <w:rsid w:val="00A22B28"/>
    <w:rsid w:val="00A34C29"/>
    <w:rsid w:val="00AB1425"/>
    <w:rsid w:val="00B81C39"/>
    <w:rsid w:val="00C00E2B"/>
    <w:rsid w:val="00CC6C21"/>
    <w:rsid w:val="00D74775"/>
    <w:rsid w:val="00E53B53"/>
    <w:rsid w:val="00E736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link w:val="Ttulo1Car"/>
    <w:qFormat/>
    <w:rsid w:val="00AB1425"/>
    <w:pPr>
      <w:keepNext/>
      <w:tabs>
        <w:tab w:val="num" w:pos="0"/>
      </w:tabs>
      <w:suppressAutoHyphens/>
      <w:spacing w:before="240" w:after="60"/>
      <w:outlineLvl w:val="0"/>
    </w:pPr>
    <w:rPr>
      <w:b/>
      <w:kern w:val="1"/>
      <w:sz w:val="28"/>
      <w:szCs w:val="20"/>
      <w:lang w:eastAsia="ar-SA"/>
    </w:rPr>
  </w:style>
  <w:style w:type="paragraph" w:styleId="Ttulo2">
    <w:name w:val="heading 2"/>
    <w:basedOn w:val="Normal"/>
    <w:next w:val="Normal"/>
    <w:qFormat/>
    <w:pPr>
      <w:keepNext/>
      <w:tabs>
        <w:tab w:val="num" w:pos="360"/>
      </w:tabs>
      <w:suppressAutoHyphens/>
      <w:spacing w:line="360" w:lineRule="auto"/>
      <w:jc w:val="right"/>
      <w:outlineLvl w:val="1"/>
    </w:pPr>
    <w:rPr>
      <w:szCs w:val="20"/>
      <w:lang w:eastAsia="ar-SA"/>
    </w:rPr>
  </w:style>
  <w:style w:type="paragraph" w:styleId="Ttulo3">
    <w:name w:val="heading 3"/>
    <w:basedOn w:val="Normal"/>
    <w:next w:val="Normal"/>
    <w:qFormat/>
    <w:pPr>
      <w:keepNext/>
      <w:tabs>
        <w:tab w:val="num" w:pos="360"/>
      </w:tabs>
      <w:suppressAutoHyphens/>
      <w:jc w:val="center"/>
      <w:outlineLvl w:val="2"/>
    </w:pPr>
    <w:rPr>
      <w:b/>
      <w:szCs w:val="20"/>
      <w:lang w:eastAsia="ar-SA"/>
    </w:rPr>
  </w:style>
  <w:style w:type="paragraph" w:styleId="Ttulo4">
    <w:name w:val="heading 4"/>
    <w:basedOn w:val="Normal"/>
    <w:next w:val="Normal"/>
    <w:link w:val="Ttulo4Car"/>
    <w:qFormat/>
    <w:rsid w:val="00AB1425"/>
    <w:pPr>
      <w:keepNext/>
      <w:tabs>
        <w:tab w:val="num" w:pos="0"/>
      </w:tabs>
      <w:suppressAutoHyphens/>
      <w:outlineLvl w:val="3"/>
    </w:pPr>
    <w:rPr>
      <w:szCs w:val="20"/>
      <w:lang w:eastAsia="ar-SA"/>
    </w:rPr>
  </w:style>
  <w:style w:type="paragraph" w:styleId="Ttulo5">
    <w:name w:val="heading 5"/>
    <w:basedOn w:val="Normal"/>
    <w:next w:val="Normal"/>
    <w:link w:val="Ttulo5Car"/>
    <w:qFormat/>
    <w:rsid w:val="00AB1425"/>
    <w:pPr>
      <w:keepNext/>
      <w:tabs>
        <w:tab w:val="num" w:pos="0"/>
      </w:tabs>
      <w:suppressAutoHyphens/>
      <w:outlineLvl w:val="4"/>
    </w:pPr>
    <w:rPr>
      <w:b/>
      <w:szCs w:val="20"/>
      <w:lang w:eastAsia="ar-SA"/>
    </w:rPr>
  </w:style>
  <w:style w:type="paragraph" w:styleId="Ttulo6">
    <w:name w:val="heading 6"/>
    <w:basedOn w:val="Normal"/>
    <w:next w:val="Normal"/>
    <w:link w:val="Ttulo6Car"/>
    <w:qFormat/>
    <w:rsid w:val="00AB1425"/>
    <w:pPr>
      <w:keepNext/>
      <w:tabs>
        <w:tab w:val="num" w:pos="0"/>
      </w:tabs>
      <w:suppressAutoHyphens/>
      <w:ind w:left="795"/>
      <w:outlineLvl w:val="5"/>
    </w:pPr>
    <w:rPr>
      <w:szCs w:val="20"/>
      <w:lang w:eastAsia="ar-SA"/>
    </w:rPr>
  </w:style>
  <w:style w:type="paragraph" w:styleId="Ttulo7">
    <w:name w:val="heading 7"/>
    <w:basedOn w:val="Normal"/>
    <w:next w:val="Normal"/>
    <w:link w:val="Ttulo7Car"/>
    <w:qFormat/>
    <w:rsid w:val="00AB1425"/>
    <w:pPr>
      <w:keepNext/>
      <w:tabs>
        <w:tab w:val="num" w:pos="0"/>
      </w:tabs>
      <w:suppressAutoHyphens/>
      <w:jc w:val="center"/>
      <w:outlineLvl w:val="6"/>
    </w:pPr>
    <w:rPr>
      <w:rFonts w:cs="Arial"/>
      <w:szCs w:val="20"/>
      <w:lang w:eastAsia="ar-SA"/>
    </w:rPr>
  </w:style>
  <w:style w:type="paragraph" w:styleId="Ttulo8">
    <w:name w:val="heading 8"/>
    <w:basedOn w:val="Normal"/>
    <w:next w:val="Normal"/>
    <w:link w:val="Ttulo8Car"/>
    <w:qFormat/>
    <w:rsid w:val="00AB1425"/>
    <w:pPr>
      <w:keepNext/>
      <w:suppressAutoHyphens/>
      <w:jc w:val="both"/>
      <w:outlineLvl w:val="7"/>
    </w:pPr>
    <w:rPr>
      <w:b/>
      <w:bCs/>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suppressAutoHyphens/>
    </w:pPr>
    <w:rPr>
      <w:rFonts w:ascii="Times New Roman" w:hAnsi="Times New Roman"/>
      <w:sz w:val="20"/>
      <w:szCs w:val="20"/>
      <w:lang w:eastAsia="ar-SA"/>
    </w:rPr>
  </w:style>
  <w:style w:type="character" w:customStyle="1" w:styleId="Ttulo1Car">
    <w:name w:val="Título 1 Car"/>
    <w:basedOn w:val="Fuentedeprrafopredeter"/>
    <w:link w:val="Ttulo1"/>
    <w:rsid w:val="00AB1425"/>
    <w:rPr>
      <w:rFonts w:ascii="Arial" w:hAnsi="Arial"/>
      <w:b/>
      <w:kern w:val="1"/>
      <w:sz w:val="28"/>
      <w:lang w:eastAsia="ar-SA"/>
    </w:rPr>
  </w:style>
  <w:style w:type="character" w:customStyle="1" w:styleId="Ttulo4Car">
    <w:name w:val="Título 4 Car"/>
    <w:basedOn w:val="Fuentedeprrafopredeter"/>
    <w:link w:val="Ttulo4"/>
    <w:rsid w:val="00AB1425"/>
    <w:rPr>
      <w:rFonts w:ascii="Arial" w:hAnsi="Arial"/>
      <w:sz w:val="24"/>
      <w:lang w:eastAsia="ar-SA"/>
    </w:rPr>
  </w:style>
  <w:style w:type="character" w:customStyle="1" w:styleId="Ttulo5Car">
    <w:name w:val="Título 5 Car"/>
    <w:basedOn w:val="Fuentedeprrafopredeter"/>
    <w:link w:val="Ttulo5"/>
    <w:rsid w:val="00AB1425"/>
    <w:rPr>
      <w:rFonts w:ascii="Arial" w:hAnsi="Arial"/>
      <w:b/>
      <w:sz w:val="24"/>
      <w:lang w:eastAsia="ar-SA"/>
    </w:rPr>
  </w:style>
  <w:style w:type="character" w:customStyle="1" w:styleId="Ttulo6Car">
    <w:name w:val="Título 6 Car"/>
    <w:basedOn w:val="Fuentedeprrafopredeter"/>
    <w:link w:val="Ttulo6"/>
    <w:rsid w:val="00AB1425"/>
    <w:rPr>
      <w:rFonts w:ascii="Arial" w:hAnsi="Arial"/>
      <w:sz w:val="24"/>
      <w:lang w:eastAsia="ar-SA"/>
    </w:rPr>
  </w:style>
  <w:style w:type="character" w:customStyle="1" w:styleId="Ttulo7Car">
    <w:name w:val="Título 7 Car"/>
    <w:basedOn w:val="Fuentedeprrafopredeter"/>
    <w:link w:val="Ttulo7"/>
    <w:rsid w:val="00AB1425"/>
    <w:rPr>
      <w:rFonts w:ascii="Arial" w:hAnsi="Arial" w:cs="Arial"/>
      <w:sz w:val="24"/>
      <w:lang w:eastAsia="ar-SA"/>
    </w:rPr>
  </w:style>
  <w:style w:type="character" w:customStyle="1" w:styleId="Ttulo8Car">
    <w:name w:val="Título 8 Car"/>
    <w:basedOn w:val="Fuentedeprrafopredeter"/>
    <w:link w:val="Ttulo8"/>
    <w:rsid w:val="00AB1425"/>
    <w:rPr>
      <w:rFonts w:ascii="Arial" w:hAnsi="Arial"/>
      <w:b/>
      <w:bCs/>
      <w:sz w:val="24"/>
      <w:lang w:eastAsia="ar-SA"/>
    </w:rPr>
  </w:style>
  <w:style w:type="paragraph" w:styleId="Textoindependiente">
    <w:name w:val="Body Text"/>
    <w:basedOn w:val="Normal"/>
    <w:link w:val="TextoindependienteCar"/>
    <w:semiHidden/>
    <w:rsid w:val="00AB1425"/>
    <w:pPr>
      <w:suppressAutoHyphens/>
      <w:spacing w:after="120"/>
    </w:pPr>
    <w:rPr>
      <w:rFonts w:ascii="Times New Roman" w:hAnsi="Times New Roman"/>
      <w:sz w:val="20"/>
      <w:szCs w:val="20"/>
      <w:lang w:eastAsia="ar-SA"/>
    </w:rPr>
  </w:style>
  <w:style w:type="character" w:customStyle="1" w:styleId="TextoindependienteCar">
    <w:name w:val="Texto independiente Car"/>
    <w:basedOn w:val="Fuentedeprrafopredeter"/>
    <w:link w:val="Textoindependiente"/>
    <w:semiHidden/>
    <w:rsid w:val="00AB1425"/>
    <w:rPr>
      <w:lang w:eastAsia="ar-SA"/>
    </w:rPr>
  </w:style>
  <w:style w:type="paragraph" w:styleId="Textoindependiente2">
    <w:name w:val="Body Text 2"/>
    <w:basedOn w:val="Normal"/>
    <w:link w:val="Textoindependiente2Car"/>
    <w:semiHidden/>
    <w:rsid w:val="00AB1425"/>
    <w:pPr>
      <w:suppressAutoHyphens/>
      <w:jc w:val="both"/>
    </w:pPr>
    <w:rPr>
      <w:szCs w:val="20"/>
      <w:lang w:eastAsia="ar-SA"/>
    </w:rPr>
  </w:style>
  <w:style w:type="character" w:customStyle="1" w:styleId="Textoindependiente2Car">
    <w:name w:val="Texto independiente 2 Car"/>
    <w:basedOn w:val="Fuentedeprrafopredeter"/>
    <w:link w:val="Textoindependiente2"/>
    <w:semiHidden/>
    <w:rsid w:val="00AB1425"/>
    <w:rPr>
      <w:rFonts w:ascii="Arial" w:hAnsi="Arial"/>
      <w:sz w:val="24"/>
      <w:lang w:eastAsia="ar-SA"/>
    </w:rPr>
  </w:style>
  <w:style w:type="paragraph" w:styleId="Sangra3detindependiente">
    <w:name w:val="Body Text Indent 3"/>
    <w:basedOn w:val="Normal"/>
    <w:link w:val="Sangra3detindependienteCar"/>
    <w:semiHidden/>
    <w:rsid w:val="00AB1425"/>
    <w:pPr>
      <w:suppressAutoHyphens/>
      <w:spacing w:line="360" w:lineRule="auto"/>
      <w:ind w:firstLine="1418"/>
      <w:jc w:val="both"/>
    </w:pPr>
    <w:rPr>
      <w:szCs w:val="20"/>
      <w:lang w:eastAsia="ar-SA"/>
    </w:rPr>
  </w:style>
  <w:style w:type="character" w:customStyle="1" w:styleId="Sangra3detindependienteCar">
    <w:name w:val="Sangría 3 de t. independiente Car"/>
    <w:basedOn w:val="Fuentedeprrafopredeter"/>
    <w:link w:val="Sangra3detindependiente"/>
    <w:semiHidden/>
    <w:rsid w:val="00AB1425"/>
    <w:rPr>
      <w:rFonts w:ascii="Arial" w:hAnsi="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paragraph" w:styleId="Ttulo1">
    <w:name w:val="heading 1"/>
    <w:basedOn w:val="Normal"/>
    <w:next w:val="Normal"/>
    <w:link w:val="Ttulo1Car"/>
    <w:qFormat/>
    <w:rsid w:val="00AB1425"/>
    <w:pPr>
      <w:keepNext/>
      <w:tabs>
        <w:tab w:val="num" w:pos="0"/>
      </w:tabs>
      <w:suppressAutoHyphens/>
      <w:spacing w:before="240" w:after="60"/>
      <w:outlineLvl w:val="0"/>
    </w:pPr>
    <w:rPr>
      <w:b/>
      <w:kern w:val="1"/>
      <w:sz w:val="28"/>
      <w:szCs w:val="20"/>
      <w:lang w:eastAsia="ar-SA"/>
    </w:rPr>
  </w:style>
  <w:style w:type="paragraph" w:styleId="Ttulo2">
    <w:name w:val="heading 2"/>
    <w:basedOn w:val="Normal"/>
    <w:next w:val="Normal"/>
    <w:qFormat/>
    <w:pPr>
      <w:keepNext/>
      <w:tabs>
        <w:tab w:val="num" w:pos="360"/>
      </w:tabs>
      <w:suppressAutoHyphens/>
      <w:spacing w:line="360" w:lineRule="auto"/>
      <w:jc w:val="right"/>
      <w:outlineLvl w:val="1"/>
    </w:pPr>
    <w:rPr>
      <w:szCs w:val="20"/>
      <w:lang w:eastAsia="ar-SA"/>
    </w:rPr>
  </w:style>
  <w:style w:type="paragraph" w:styleId="Ttulo3">
    <w:name w:val="heading 3"/>
    <w:basedOn w:val="Normal"/>
    <w:next w:val="Normal"/>
    <w:qFormat/>
    <w:pPr>
      <w:keepNext/>
      <w:tabs>
        <w:tab w:val="num" w:pos="360"/>
      </w:tabs>
      <w:suppressAutoHyphens/>
      <w:jc w:val="center"/>
      <w:outlineLvl w:val="2"/>
    </w:pPr>
    <w:rPr>
      <w:b/>
      <w:szCs w:val="20"/>
      <w:lang w:eastAsia="ar-SA"/>
    </w:rPr>
  </w:style>
  <w:style w:type="paragraph" w:styleId="Ttulo4">
    <w:name w:val="heading 4"/>
    <w:basedOn w:val="Normal"/>
    <w:next w:val="Normal"/>
    <w:link w:val="Ttulo4Car"/>
    <w:qFormat/>
    <w:rsid w:val="00AB1425"/>
    <w:pPr>
      <w:keepNext/>
      <w:tabs>
        <w:tab w:val="num" w:pos="0"/>
      </w:tabs>
      <w:suppressAutoHyphens/>
      <w:outlineLvl w:val="3"/>
    </w:pPr>
    <w:rPr>
      <w:szCs w:val="20"/>
      <w:lang w:eastAsia="ar-SA"/>
    </w:rPr>
  </w:style>
  <w:style w:type="paragraph" w:styleId="Ttulo5">
    <w:name w:val="heading 5"/>
    <w:basedOn w:val="Normal"/>
    <w:next w:val="Normal"/>
    <w:link w:val="Ttulo5Car"/>
    <w:qFormat/>
    <w:rsid w:val="00AB1425"/>
    <w:pPr>
      <w:keepNext/>
      <w:tabs>
        <w:tab w:val="num" w:pos="0"/>
      </w:tabs>
      <w:suppressAutoHyphens/>
      <w:outlineLvl w:val="4"/>
    </w:pPr>
    <w:rPr>
      <w:b/>
      <w:szCs w:val="20"/>
      <w:lang w:eastAsia="ar-SA"/>
    </w:rPr>
  </w:style>
  <w:style w:type="paragraph" w:styleId="Ttulo6">
    <w:name w:val="heading 6"/>
    <w:basedOn w:val="Normal"/>
    <w:next w:val="Normal"/>
    <w:link w:val="Ttulo6Car"/>
    <w:qFormat/>
    <w:rsid w:val="00AB1425"/>
    <w:pPr>
      <w:keepNext/>
      <w:tabs>
        <w:tab w:val="num" w:pos="0"/>
      </w:tabs>
      <w:suppressAutoHyphens/>
      <w:ind w:left="795"/>
      <w:outlineLvl w:val="5"/>
    </w:pPr>
    <w:rPr>
      <w:szCs w:val="20"/>
      <w:lang w:eastAsia="ar-SA"/>
    </w:rPr>
  </w:style>
  <w:style w:type="paragraph" w:styleId="Ttulo7">
    <w:name w:val="heading 7"/>
    <w:basedOn w:val="Normal"/>
    <w:next w:val="Normal"/>
    <w:link w:val="Ttulo7Car"/>
    <w:qFormat/>
    <w:rsid w:val="00AB1425"/>
    <w:pPr>
      <w:keepNext/>
      <w:tabs>
        <w:tab w:val="num" w:pos="0"/>
      </w:tabs>
      <w:suppressAutoHyphens/>
      <w:jc w:val="center"/>
      <w:outlineLvl w:val="6"/>
    </w:pPr>
    <w:rPr>
      <w:rFonts w:cs="Arial"/>
      <w:szCs w:val="20"/>
      <w:lang w:eastAsia="ar-SA"/>
    </w:rPr>
  </w:style>
  <w:style w:type="paragraph" w:styleId="Ttulo8">
    <w:name w:val="heading 8"/>
    <w:basedOn w:val="Normal"/>
    <w:next w:val="Normal"/>
    <w:link w:val="Ttulo8Car"/>
    <w:qFormat/>
    <w:rsid w:val="00AB1425"/>
    <w:pPr>
      <w:keepNext/>
      <w:suppressAutoHyphens/>
      <w:jc w:val="both"/>
      <w:outlineLvl w:val="7"/>
    </w:pPr>
    <w:rPr>
      <w:b/>
      <w:bCs/>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suppressAutoHyphens/>
    </w:pPr>
    <w:rPr>
      <w:rFonts w:ascii="Times New Roman" w:hAnsi="Times New Roman"/>
      <w:sz w:val="20"/>
      <w:szCs w:val="20"/>
      <w:lang w:eastAsia="ar-SA"/>
    </w:rPr>
  </w:style>
  <w:style w:type="character" w:customStyle="1" w:styleId="Ttulo1Car">
    <w:name w:val="Título 1 Car"/>
    <w:basedOn w:val="Fuentedeprrafopredeter"/>
    <w:link w:val="Ttulo1"/>
    <w:rsid w:val="00AB1425"/>
    <w:rPr>
      <w:rFonts w:ascii="Arial" w:hAnsi="Arial"/>
      <w:b/>
      <w:kern w:val="1"/>
      <w:sz w:val="28"/>
      <w:lang w:eastAsia="ar-SA"/>
    </w:rPr>
  </w:style>
  <w:style w:type="character" w:customStyle="1" w:styleId="Ttulo4Car">
    <w:name w:val="Título 4 Car"/>
    <w:basedOn w:val="Fuentedeprrafopredeter"/>
    <w:link w:val="Ttulo4"/>
    <w:rsid w:val="00AB1425"/>
    <w:rPr>
      <w:rFonts w:ascii="Arial" w:hAnsi="Arial"/>
      <w:sz w:val="24"/>
      <w:lang w:eastAsia="ar-SA"/>
    </w:rPr>
  </w:style>
  <w:style w:type="character" w:customStyle="1" w:styleId="Ttulo5Car">
    <w:name w:val="Título 5 Car"/>
    <w:basedOn w:val="Fuentedeprrafopredeter"/>
    <w:link w:val="Ttulo5"/>
    <w:rsid w:val="00AB1425"/>
    <w:rPr>
      <w:rFonts w:ascii="Arial" w:hAnsi="Arial"/>
      <w:b/>
      <w:sz w:val="24"/>
      <w:lang w:eastAsia="ar-SA"/>
    </w:rPr>
  </w:style>
  <w:style w:type="character" w:customStyle="1" w:styleId="Ttulo6Car">
    <w:name w:val="Título 6 Car"/>
    <w:basedOn w:val="Fuentedeprrafopredeter"/>
    <w:link w:val="Ttulo6"/>
    <w:rsid w:val="00AB1425"/>
    <w:rPr>
      <w:rFonts w:ascii="Arial" w:hAnsi="Arial"/>
      <w:sz w:val="24"/>
      <w:lang w:eastAsia="ar-SA"/>
    </w:rPr>
  </w:style>
  <w:style w:type="character" w:customStyle="1" w:styleId="Ttulo7Car">
    <w:name w:val="Título 7 Car"/>
    <w:basedOn w:val="Fuentedeprrafopredeter"/>
    <w:link w:val="Ttulo7"/>
    <w:rsid w:val="00AB1425"/>
    <w:rPr>
      <w:rFonts w:ascii="Arial" w:hAnsi="Arial" w:cs="Arial"/>
      <w:sz w:val="24"/>
      <w:lang w:eastAsia="ar-SA"/>
    </w:rPr>
  </w:style>
  <w:style w:type="character" w:customStyle="1" w:styleId="Ttulo8Car">
    <w:name w:val="Título 8 Car"/>
    <w:basedOn w:val="Fuentedeprrafopredeter"/>
    <w:link w:val="Ttulo8"/>
    <w:rsid w:val="00AB1425"/>
    <w:rPr>
      <w:rFonts w:ascii="Arial" w:hAnsi="Arial"/>
      <w:b/>
      <w:bCs/>
      <w:sz w:val="24"/>
      <w:lang w:eastAsia="ar-SA"/>
    </w:rPr>
  </w:style>
  <w:style w:type="paragraph" w:styleId="Textoindependiente">
    <w:name w:val="Body Text"/>
    <w:basedOn w:val="Normal"/>
    <w:link w:val="TextoindependienteCar"/>
    <w:semiHidden/>
    <w:rsid w:val="00AB1425"/>
    <w:pPr>
      <w:suppressAutoHyphens/>
      <w:spacing w:after="120"/>
    </w:pPr>
    <w:rPr>
      <w:rFonts w:ascii="Times New Roman" w:hAnsi="Times New Roman"/>
      <w:sz w:val="20"/>
      <w:szCs w:val="20"/>
      <w:lang w:eastAsia="ar-SA"/>
    </w:rPr>
  </w:style>
  <w:style w:type="character" w:customStyle="1" w:styleId="TextoindependienteCar">
    <w:name w:val="Texto independiente Car"/>
    <w:basedOn w:val="Fuentedeprrafopredeter"/>
    <w:link w:val="Textoindependiente"/>
    <w:semiHidden/>
    <w:rsid w:val="00AB1425"/>
    <w:rPr>
      <w:lang w:eastAsia="ar-SA"/>
    </w:rPr>
  </w:style>
  <w:style w:type="paragraph" w:styleId="Textoindependiente2">
    <w:name w:val="Body Text 2"/>
    <w:basedOn w:val="Normal"/>
    <w:link w:val="Textoindependiente2Car"/>
    <w:semiHidden/>
    <w:rsid w:val="00AB1425"/>
    <w:pPr>
      <w:suppressAutoHyphens/>
      <w:jc w:val="both"/>
    </w:pPr>
    <w:rPr>
      <w:szCs w:val="20"/>
      <w:lang w:eastAsia="ar-SA"/>
    </w:rPr>
  </w:style>
  <w:style w:type="character" w:customStyle="1" w:styleId="Textoindependiente2Car">
    <w:name w:val="Texto independiente 2 Car"/>
    <w:basedOn w:val="Fuentedeprrafopredeter"/>
    <w:link w:val="Textoindependiente2"/>
    <w:semiHidden/>
    <w:rsid w:val="00AB1425"/>
    <w:rPr>
      <w:rFonts w:ascii="Arial" w:hAnsi="Arial"/>
      <w:sz w:val="24"/>
      <w:lang w:eastAsia="ar-SA"/>
    </w:rPr>
  </w:style>
  <w:style w:type="paragraph" w:styleId="Sangra3detindependiente">
    <w:name w:val="Body Text Indent 3"/>
    <w:basedOn w:val="Normal"/>
    <w:link w:val="Sangra3detindependienteCar"/>
    <w:semiHidden/>
    <w:rsid w:val="00AB1425"/>
    <w:pPr>
      <w:suppressAutoHyphens/>
      <w:spacing w:line="360" w:lineRule="auto"/>
      <w:ind w:firstLine="1418"/>
      <w:jc w:val="both"/>
    </w:pPr>
    <w:rPr>
      <w:szCs w:val="20"/>
      <w:lang w:eastAsia="ar-SA"/>
    </w:rPr>
  </w:style>
  <w:style w:type="character" w:customStyle="1" w:styleId="Sangra3detindependienteCar">
    <w:name w:val="Sangría 3 de t. independiente Car"/>
    <w:basedOn w:val="Fuentedeprrafopredeter"/>
    <w:link w:val="Sangra3detindependiente"/>
    <w:semiHidden/>
    <w:rsid w:val="00AB1425"/>
    <w:rPr>
      <w:rFonts w:ascii="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860</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 </cp:lastModifiedBy>
  <cp:revision>7</cp:revision>
  <dcterms:created xsi:type="dcterms:W3CDTF">2015-06-05T15:12:00Z</dcterms:created>
  <dcterms:modified xsi:type="dcterms:W3CDTF">2015-07-08T18:51:00Z</dcterms:modified>
</cp:coreProperties>
</file>