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F3" w:rsidRPr="00AD6ECA" w:rsidRDefault="00161FF3" w:rsidP="00161FF3">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AD6ECA">
        <w:rPr>
          <w:rFonts w:ascii="Arial" w:hAnsi="Arial" w:cs="Arial"/>
          <w:b/>
          <w:sz w:val="24"/>
          <w:szCs w:val="24"/>
          <w:lang w:val="es-ES_tradnl"/>
        </w:rPr>
        <w:t>RESOLUCION ADOPTADA POR EL</w:t>
      </w:r>
    </w:p>
    <w:p w:rsidR="00161FF3" w:rsidRPr="00AD6ECA" w:rsidRDefault="00161FF3" w:rsidP="00161FF3">
      <w:pPr>
        <w:tabs>
          <w:tab w:val="left" w:pos="-720"/>
        </w:tabs>
        <w:suppressAutoHyphens/>
        <w:spacing w:after="0" w:line="240" w:lineRule="auto"/>
        <w:jc w:val="center"/>
        <w:rPr>
          <w:rFonts w:ascii="Arial" w:hAnsi="Arial" w:cs="Arial"/>
          <w:b/>
          <w:sz w:val="24"/>
          <w:szCs w:val="24"/>
          <w:lang w:val="es-ES_tradnl"/>
        </w:rPr>
      </w:pPr>
    </w:p>
    <w:p w:rsidR="00161FF3" w:rsidRPr="00AD6ECA" w:rsidRDefault="00161FF3" w:rsidP="00161FF3">
      <w:pPr>
        <w:tabs>
          <w:tab w:val="center" w:pos="4253"/>
        </w:tabs>
        <w:suppressAutoHyphens/>
        <w:spacing w:after="0" w:line="240" w:lineRule="auto"/>
        <w:jc w:val="center"/>
        <w:rPr>
          <w:rFonts w:ascii="Arial" w:hAnsi="Arial" w:cs="Arial"/>
          <w:b/>
          <w:sz w:val="24"/>
          <w:szCs w:val="24"/>
          <w:lang w:val="es-ES_tradnl"/>
        </w:rPr>
      </w:pPr>
      <w:r w:rsidRPr="00AD6ECA">
        <w:rPr>
          <w:rFonts w:ascii="Arial" w:hAnsi="Arial" w:cs="Arial"/>
          <w:b/>
          <w:sz w:val="24"/>
          <w:szCs w:val="24"/>
          <w:lang w:val="es-ES_tradnl"/>
        </w:rPr>
        <w:t>TRIBUNAL DE CUENTAS</w:t>
      </w:r>
    </w:p>
    <w:p w:rsidR="00161FF3" w:rsidRPr="00AD6ECA" w:rsidRDefault="00161FF3" w:rsidP="00161FF3">
      <w:pPr>
        <w:tabs>
          <w:tab w:val="left" w:pos="-720"/>
        </w:tabs>
        <w:suppressAutoHyphens/>
        <w:spacing w:after="0" w:line="240" w:lineRule="auto"/>
        <w:jc w:val="center"/>
        <w:rPr>
          <w:rFonts w:ascii="Arial" w:hAnsi="Arial" w:cs="Arial"/>
          <w:b/>
          <w:sz w:val="24"/>
          <w:szCs w:val="24"/>
          <w:lang w:val="es-ES_tradnl"/>
        </w:rPr>
      </w:pPr>
    </w:p>
    <w:p w:rsidR="00161FF3" w:rsidRPr="00AD6ECA" w:rsidRDefault="00161FF3" w:rsidP="00161FF3">
      <w:pPr>
        <w:tabs>
          <w:tab w:val="center" w:pos="4253"/>
        </w:tabs>
        <w:suppressAutoHyphens/>
        <w:spacing w:after="0" w:line="240" w:lineRule="auto"/>
        <w:jc w:val="center"/>
        <w:rPr>
          <w:rFonts w:ascii="Arial" w:hAnsi="Arial" w:cs="Arial"/>
          <w:b/>
          <w:sz w:val="24"/>
          <w:szCs w:val="24"/>
          <w:lang w:val="es-ES_tradnl"/>
        </w:rPr>
      </w:pPr>
      <w:r w:rsidRPr="00AD6ECA">
        <w:rPr>
          <w:rFonts w:ascii="Arial" w:hAnsi="Arial" w:cs="Arial"/>
          <w:b/>
          <w:sz w:val="24"/>
          <w:szCs w:val="24"/>
          <w:lang w:val="es-ES_tradnl"/>
        </w:rPr>
        <w:t>EN SESION DE FECHA 3 DE JUNIO DE 2015</w:t>
      </w:r>
    </w:p>
    <w:p w:rsidR="00161FF3" w:rsidRPr="00AD6ECA" w:rsidRDefault="00161FF3" w:rsidP="00161FF3">
      <w:pPr>
        <w:tabs>
          <w:tab w:val="center" w:pos="4253"/>
        </w:tabs>
        <w:suppressAutoHyphens/>
        <w:spacing w:after="0" w:line="240" w:lineRule="auto"/>
        <w:jc w:val="center"/>
        <w:rPr>
          <w:rFonts w:ascii="Arial" w:hAnsi="Arial" w:cs="Arial"/>
          <w:b/>
          <w:sz w:val="24"/>
          <w:szCs w:val="24"/>
          <w:lang w:val="es-ES_tradnl"/>
        </w:rPr>
      </w:pPr>
    </w:p>
    <w:p w:rsidR="00161FF3" w:rsidRPr="00AD6ECA" w:rsidRDefault="00161FF3" w:rsidP="00161FF3">
      <w:pPr>
        <w:tabs>
          <w:tab w:val="center" w:pos="4253"/>
        </w:tabs>
        <w:suppressAutoHyphens/>
        <w:spacing w:after="0" w:line="240" w:lineRule="auto"/>
        <w:jc w:val="center"/>
        <w:rPr>
          <w:rFonts w:ascii="Arial" w:hAnsi="Arial" w:cs="Arial"/>
          <w:b/>
          <w:sz w:val="24"/>
          <w:szCs w:val="24"/>
          <w:lang w:val="es-AR"/>
        </w:rPr>
      </w:pPr>
      <w:r w:rsidRPr="00AD6ECA">
        <w:rPr>
          <w:rFonts w:ascii="Arial" w:hAnsi="Arial" w:cs="Arial"/>
          <w:b/>
          <w:sz w:val="24"/>
          <w:szCs w:val="24"/>
          <w:lang w:val="es-AR"/>
        </w:rPr>
        <w:t xml:space="preserve">(E. E. Nº 2015-17-1-0000277, </w:t>
      </w:r>
      <w:proofErr w:type="spellStart"/>
      <w:r w:rsidRPr="00AD6ECA">
        <w:rPr>
          <w:rFonts w:ascii="Arial" w:hAnsi="Arial" w:cs="Arial"/>
          <w:b/>
          <w:sz w:val="24"/>
          <w:szCs w:val="24"/>
          <w:lang w:val="es-AR"/>
        </w:rPr>
        <w:t>Ent</w:t>
      </w:r>
      <w:proofErr w:type="spellEnd"/>
      <w:r w:rsidRPr="00AD6ECA">
        <w:rPr>
          <w:rFonts w:ascii="Arial" w:hAnsi="Arial" w:cs="Arial"/>
          <w:b/>
          <w:sz w:val="24"/>
          <w:szCs w:val="24"/>
          <w:lang w:val="es-AR"/>
        </w:rPr>
        <w:t>. N° 2314/15)</w:t>
      </w:r>
    </w:p>
    <w:p w:rsidR="00161FF3" w:rsidRPr="00161FF3" w:rsidRDefault="00161FF3">
      <w:pPr>
        <w:tabs>
          <w:tab w:val="center" w:pos="4253"/>
        </w:tabs>
        <w:suppressAutoHyphens/>
        <w:jc w:val="center"/>
        <w:rPr>
          <w:rFonts w:ascii="Arial" w:hAnsi="Arial"/>
          <w:spacing w:val="-3"/>
          <w:lang w:val="es-AR"/>
        </w:rPr>
      </w:pPr>
    </w:p>
    <w:p w:rsidR="00161FF3" w:rsidRDefault="00D81C5E" w:rsidP="00161FF3">
      <w:pPr>
        <w:spacing w:after="0" w:line="360" w:lineRule="auto"/>
        <w:ind w:firstLine="851"/>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las actuaciones remitidas por la Administración Nacional de Usinas y Trasmisiones Eléctricas relacionadas con la Licitación Pública P45624 para la realización de trabajos de remodelación y ampliación de la red de distribución en Montevideo y área metropol</w:t>
      </w:r>
      <w:r w:rsidR="00161FF3">
        <w:rPr>
          <w:rFonts w:ascii="Arial" w:hAnsi="Arial" w:cs="Arial"/>
          <w:sz w:val="24"/>
          <w:szCs w:val="24"/>
        </w:rPr>
        <w:t>itana;</w:t>
      </w:r>
    </w:p>
    <w:p w:rsidR="00161FF3" w:rsidRDefault="00D81C5E" w:rsidP="00161FF3">
      <w:pPr>
        <w:spacing w:after="0" w:line="360" w:lineRule="auto"/>
        <w:ind w:firstLine="851"/>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por Resolución</w:t>
      </w:r>
      <w:r w:rsidR="00161FF3">
        <w:rPr>
          <w:rFonts w:ascii="Arial" w:hAnsi="Arial" w:cs="Arial"/>
          <w:sz w:val="24"/>
          <w:szCs w:val="24"/>
        </w:rPr>
        <w:t xml:space="preserve"> G.G. Nº 94/14, se adjudicó la L</w:t>
      </w:r>
      <w:r>
        <w:rPr>
          <w:rFonts w:ascii="Arial" w:hAnsi="Arial" w:cs="Arial"/>
          <w:sz w:val="24"/>
          <w:szCs w:val="24"/>
        </w:rPr>
        <w:t xml:space="preserve">icitación a  Compañía Electrotécnica Industrial </w:t>
      </w:r>
      <w:r w:rsidR="00161FF3">
        <w:rPr>
          <w:rFonts w:ascii="Arial" w:hAnsi="Arial" w:cs="Arial"/>
          <w:sz w:val="24"/>
          <w:szCs w:val="24"/>
        </w:rPr>
        <w:t>S.R.L., por un monto total de $1.</w:t>
      </w:r>
      <w:r>
        <w:rPr>
          <w:rFonts w:ascii="Arial" w:hAnsi="Arial" w:cs="Arial"/>
          <w:sz w:val="24"/>
          <w:szCs w:val="24"/>
        </w:rPr>
        <w:t>025.376.734 (IVA, imprevistos y ajustes incluidos)</w:t>
      </w:r>
      <w:r w:rsidR="00161FF3">
        <w:rPr>
          <w:rFonts w:ascii="Arial" w:hAnsi="Arial" w:cs="Arial"/>
          <w:sz w:val="24"/>
          <w:szCs w:val="24"/>
        </w:rPr>
        <w:t>;</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2)</w:t>
      </w:r>
      <w:r w:rsidR="00161FF3">
        <w:rPr>
          <w:rFonts w:ascii="Arial" w:hAnsi="Arial" w:cs="Arial"/>
          <w:sz w:val="24"/>
          <w:szCs w:val="24"/>
        </w:rPr>
        <w:t xml:space="preserve"> que este Tribunal en S</w:t>
      </w:r>
      <w:r>
        <w:rPr>
          <w:rFonts w:ascii="Arial" w:hAnsi="Arial" w:cs="Arial"/>
          <w:sz w:val="24"/>
          <w:szCs w:val="24"/>
        </w:rPr>
        <w:t>esión de fecha 04.02.15 acordó  observar el gasto por los siguientes motivos:</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se </w:t>
      </w:r>
      <w:r w:rsidR="00161FF3">
        <w:rPr>
          <w:rFonts w:ascii="Arial" w:hAnsi="Arial" w:cs="Arial"/>
          <w:sz w:val="24"/>
          <w:szCs w:val="24"/>
        </w:rPr>
        <w:t>contravino lo dispuesto por el A</w:t>
      </w:r>
      <w:r>
        <w:rPr>
          <w:rFonts w:ascii="Arial" w:hAnsi="Arial" w:cs="Arial"/>
          <w:sz w:val="24"/>
          <w:szCs w:val="24"/>
        </w:rPr>
        <w:t>rtículo 15 del TOCAF</w:t>
      </w:r>
      <w:r w:rsidR="00161FF3">
        <w:rPr>
          <w:rFonts w:ascii="Arial" w:hAnsi="Arial" w:cs="Arial"/>
          <w:sz w:val="24"/>
          <w:szCs w:val="24"/>
        </w:rPr>
        <w:t xml:space="preserve"> </w:t>
      </w:r>
      <w:r>
        <w:rPr>
          <w:rFonts w:ascii="Arial" w:hAnsi="Arial" w:cs="Arial"/>
          <w:sz w:val="24"/>
          <w:szCs w:val="24"/>
        </w:rPr>
        <w:t>al haberse comprometido un gasto sin que existiera crédito presupuestal suficiente en el</w:t>
      </w:r>
      <w:r w:rsidR="00161FF3">
        <w:rPr>
          <w:rFonts w:ascii="Arial" w:hAnsi="Arial" w:cs="Arial"/>
          <w:sz w:val="24"/>
          <w:szCs w:val="24"/>
        </w:rPr>
        <w:t xml:space="preserve"> grupo de imputación contable;</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2.2)</w:t>
      </w:r>
      <w:r>
        <w:rPr>
          <w:rFonts w:ascii="Arial" w:hAnsi="Arial" w:cs="Arial"/>
          <w:sz w:val="24"/>
          <w:szCs w:val="24"/>
        </w:rPr>
        <w:t xml:space="preserve"> la exigencia de la presentación del certificado expedido por el Banco de Seguros del Estado referido a la contratación de Seguros de Accidentes y Enfermedades P</w:t>
      </w:r>
      <w:r w:rsidR="00161FF3">
        <w:rPr>
          <w:rFonts w:ascii="Arial" w:hAnsi="Arial" w:cs="Arial"/>
          <w:sz w:val="24"/>
          <w:szCs w:val="24"/>
        </w:rPr>
        <w:t>rofesionales establecido en el A</w:t>
      </w:r>
      <w:r>
        <w:rPr>
          <w:rFonts w:ascii="Arial" w:hAnsi="Arial" w:cs="Arial"/>
          <w:sz w:val="24"/>
          <w:szCs w:val="24"/>
        </w:rPr>
        <w:t>rtículo 61 de la</w:t>
      </w:r>
      <w:r w:rsidR="00161FF3">
        <w:rPr>
          <w:rFonts w:ascii="Arial" w:hAnsi="Arial" w:cs="Arial"/>
          <w:sz w:val="24"/>
          <w:szCs w:val="24"/>
        </w:rPr>
        <w:t xml:space="preserve"> Ley Nº 16.074, prevista en el A</w:t>
      </w:r>
      <w:r>
        <w:rPr>
          <w:rFonts w:ascii="Arial" w:hAnsi="Arial" w:cs="Arial"/>
          <w:sz w:val="24"/>
          <w:szCs w:val="24"/>
        </w:rPr>
        <w:t>rtículo 6.1 b) del Pliego de Condiciones Particulares es innecesario pues la información acerca de la validez del certificado surge del Registro Único de Proveedores y, en consecuencia, se contravino lo dispuesto por el artículo 9 del Decreto 131/014 del 19.05.14 que establece que el Pliego de Condiciones Particulares no puede exigir documentación a la que se pueda acceder a través de dicho registro; y</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 xml:space="preserve">2.3) </w:t>
      </w:r>
      <w:r w:rsidR="00161FF3">
        <w:rPr>
          <w:rFonts w:ascii="Arial" w:hAnsi="Arial" w:cs="Arial"/>
          <w:sz w:val="24"/>
          <w:szCs w:val="24"/>
        </w:rPr>
        <w:t>el A</w:t>
      </w:r>
      <w:r>
        <w:rPr>
          <w:rFonts w:ascii="Arial" w:hAnsi="Arial" w:cs="Arial"/>
          <w:sz w:val="24"/>
          <w:szCs w:val="24"/>
        </w:rPr>
        <w:t>rtículo 6.1 c) del Pliego de Condiciones Particulares exigió al oferente la presentación del re</w:t>
      </w:r>
      <w:proofErr w:type="spellStart"/>
      <w:r>
        <w:rPr>
          <w:rFonts w:ascii="Arial" w:hAnsi="Arial" w:cs="Arial"/>
          <w:sz w:val="24"/>
          <w:szCs w:val="24"/>
          <w:lang w:val="es-MX"/>
        </w:rPr>
        <w:t>cibo</w:t>
      </w:r>
      <w:proofErr w:type="spellEnd"/>
      <w:r>
        <w:rPr>
          <w:rFonts w:ascii="Arial" w:hAnsi="Arial" w:cs="Arial"/>
          <w:sz w:val="24"/>
          <w:szCs w:val="24"/>
          <w:lang w:val="es-MX"/>
        </w:rPr>
        <w:t xml:space="preserve"> de adquisición de los documentos de la licitación, lo cual contraviene </w:t>
      </w:r>
      <w:r w:rsidR="00161FF3">
        <w:rPr>
          <w:rFonts w:ascii="Arial" w:hAnsi="Arial" w:cs="Arial"/>
          <w:sz w:val="24"/>
          <w:szCs w:val="24"/>
        </w:rPr>
        <w:t xml:space="preserve"> el A</w:t>
      </w:r>
      <w:r>
        <w:rPr>
          <w:rFonts w:ascii="Arial" w:hAnsi="Arial" w:cs="Arial"/>
          <w:sz w:val="24"/>
          <w:szCs w:val="24"/>
        </w:rPr>
        <w:t xml:space="preserve">rtículo 48 del TOCAF que </w:t>
      </w:r>
      <w:r>
        <w:rPr>
          <w:rFonts w:ascii="Arial" w:hAnsi="Arial" w:cs="Arial"/>
          <w:sz w:val="24"/>
          <w:szCs w:val="24"/>
        </w:rPr>
        <w:lastRenderedPageBreak/>
        <w:t>dispone que la demostración de estar en condiciones formales de contratar es de cargo únicamente del oferente que resulte adjudicatario;</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por Resolución R 15-756 del 23.04.15, el Directorio dispuso reiterar el gasto aduciendo que:</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 xml:space="preserve">3.1) </w:t>
      </w:r>
      <w:r>
        <w:rPr>
          <w:rFonts w:ascii="Arial" w:hAnsi="Arial" w:cs="Arial"/>
          <w:sz w:val="24"/>
          <w:szCs w:val="24"/>
        </w:rPr>
        <w:t xml:space="preserve"> la contratación resulta imprescindible, siendo los trabajos necesarios para realizar obras de infraestructura eléctricas en la Red de Distribución Montevideo para nuevos suministros, mejoras y reclamos de clientes;</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3.2)</w:t>
      </w:r>
      <w:r>
        <w:rPr>
          <w:rFonts w:ascii="Arial" w:hAnsi="Arial" w:cs="Arial"/>
          <w:sz w:val="24"/>
          <w:szCs w:val="24"/>
        </w:rPr>
        <w:t xml:space="preserve"> si bien el sitio web del Registro Único de Proveedores permite consultar la fecha de vencimiento del certificado vigente, no permite acceder a su fecha de emisión, por lo cual, a posteriori de la fecha de su apertura, no es posible verificar a través del sitio que dicho certificado se encuentre vigente; por tal motivo se estableció la exigencia de su presentación en el punto 6.1 del Pliego de Condiciones Particulares;</w:t>
      </w:r>
    </w:p>
    <w:p w:rsidR="00161FF3"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 xml:space="preserve">3.3) </w:t>
      </w:r>
      <w:r>
        <w:rPr>
          <w:rFonts w:ascii="Arial" w:hAnsi="Arial" w:cs="Arial"/>
          <w:sz w:val="24"/>
          <w:szCs w:val="24"/>
        </w:rPr>
        <w:t>tampoco puede accederse a la información necesaria a través de la página web del Banco de Seguros del Estado, ya que la misma, para consultar la vigencia  del certificado de cumplimiento de la Ley 16.074, debe ingresarse el número de póliza, da</w:t>
      </w:r>
      <w:r w:rsidR="00BB03E8">
        <w:rPr>
          <w:rFonts w:ascii="Arial" w:hAnsi="Arial" w:cs="Arial"/>
          <w:sz w:val="24"/>
          <w:szCs w:val="24"/>
        </w:rPr>
        <w:t xml:space="preserve">tos que solo posee el </w:t>
      </w:r>
      <w:proofErr w:type="spellStart"/>
      <w:r w:rsidR="00BB03E8">
        <w:rPr>
          <w:rFonts w:ascii="Arial" w:hAnsi="Arial" w:cs="Arial"/>
          <w:sz w:val="24"/>
          <w:szCs w:val="24"/>
        </w:rPr>
        <w:t>oferente;</w:t>
      </w:r>
      <w:r w:rsidR="00161FF3">
        <w:rPr>
          <w:rFonts w:ascii="Arial" w:hAnsi="Arial" w:cs="Arial"/>
          <w:sz w:val="24"/>
          <w:szCs w:val="24"/>
        </w:rPr>
        <w:t>y</w:t>
      </w:r>
      <w:proofErr w:type="spellEnd"/>
    </w:p>
    <w:p w:rsidR="00D81C5E" w:rsidRDefault="00D81C5E" w:rsidP="00161FF3">
      <w:pPr>
        <w:spacing w:after="0" w:line="360" w:lineRule="auto"/>
        <w:ind w:firstLine="2694"/>
        <w:jc w:val="both"/>
        <w:rPr>
          <w:rFonts w:ascii="Arial" w:hAnsi="Arial" w:cs="Arial"/>
          <w:sz w:val="24"/>
          <w:szCs w:val="24"/>
        </w:rPr>
      </w:pPr>
      <w:r>
        <w:rPr>
          <w:rFonts w:ascii="Arial" w:hAnsi="Arial" w:cs="Arial"/>
          <w:b/>
          <w:bCs/>
          <w:sz w:val="24"/>
          <w:szCs w:val="24"/>
        </w:rPr>
        <w:t xml:space="preserve">3.4) </w:t>
      </w:r>
      <w:r>
        <w:rPr>
          <w:rFonts w:ascii="Arial" w:hAnsi="Arial" w:cs="Arial"/>
          <w:sz w:val="24"/>
          <w:szCs w:val="24"/>
        </w:rPr>
        <w:t>no se comparte que el hecho de exigir al momento de la apertura de ofertas la compra del Pliego de Condiciones constituya una vi</w:t>
      </w:r>
      <w:r w:rsidR="00161FF3">
        <w:rPr>
          <w:rFonts w:ascii="Arial" w:hAnsi="Arial" w:cs="Arial"/>
          <w:sz w:val="24"/>
          <w:szCs w:val="24"/>
        </w:rPr>
        <w:t>olación a lo establecido en el A</w:t>
      </w:r>
      <w:r>
        <w:rPr>
          <w:rFonts w:ascii="Arial" w:hAnsi="Arial" w:cs="Arial"/>
          <w:sz w:val="24"/>
          <w:szCs w:val="24"/>
        </w:rPr>
        <w:t>rtículo 48 del TOCAF, siendo que se trata de una exigencia que corresponde al cumplimiento de un requisito de legitimación del oferente para participar en la licitación, que condiciona la misma y por tanto, no es factible de ser cumplido posteriormente a la presentación de la oferta;</w:t>
      </w:r>
    </w:p>
    <w:p w:rsidR="00161FF3" w:rsidRDefault="00D81C5E" w:rsidP="00161FF3">
      <w:pPr>
        <w:pStyle w:val="Textoindependiente"/>
        <w:spacing w:after="0"/>
        <w:ind w:firstLine="851"/>
        <w:rPr>
          <w:b w:val="0"/>
          <w:bCs w:val="0"/>
        </w:rPr>
      </w:pPr>
      <w:r>
        <w:t xml:space="preserve">CONSIDERANDO: 1) </w:t>
      </w:r>
      <w:r>
        <w:rPr>
          <w:b w:val="0"/>
          <w:bCs w:val="0"/>
        </w:rPr>
        <w:t>que a los efectos de verificar el cumplim</w:t>
      </w:r>
      <w:r w:rsidR="00161FF3">
        <w:rPr>
          <w:b w:val="0"/>
          <w:bCs w:val="0"/>
        </w:rPr>
        <w:t>iento de lo dispuesto por el Artículo 61 de la L</w:t>
      </w:r>
      <w:r>
        <w:rPr>
          <w:b w:val="0"/>
          <w:bCs w:val="0"/>
        </w:rPr>
        <w:t>ey 16.074, únicamente resulta trascendente determinar la vigencia del certificado expedido por el Banco de Seguros del Estado referido a la contratación de Seguros de Accidentes y Enfermedades Profesionales al momento del acto de apertura, información que como el propio Organismo reconoce, puede extraerse del Registro Único de Proveedores del Estado, por lo que exigir el mismo al oferente contravine lo di</w:t>
      </w:r>
      <w:r w:rsidR="00161FF3">
        <w:rPr>
          <w:b w:val="0"/>
          <w:bCs w:val="0"/>
        </w:rPr>
        <w:t>s</w:t>
      </w:r>
      <w:r>
        <w:rPr>
          <w:b w:val="0"/>
          <w:bCs w:val="0"/>
        </w:rPr>
        <w:t xml:space="preserve">puesto por el </w:t>
      </w:r>
      <w:r w:rsidR="00161FF3">
        <w:rPr>
          <w:b w:val="0"/>
          <w:bCs w:val="0"/>
        </w:rPr>
        <w:t>Artículo 9 Decreto 131/014;</w:t>
      </w:r>
    </w:p>
    <w:p w:rsidR="00161FF3" w:rsidRDefault="00D81C5E" w:rsidP="00AD6ECA">
      <w:pPr>
        <w:pStyle w:val="Textoindependiente"/>
        <w:spacing w:after="0"/>
        <w:ind w:firstLine="2977"/>
        <w:rPr>
          <w:b w:val="0"/>
        </w:rPr>
      </w:pPr>
      <w:r w:rsidRPr="00161FF3">
        <w:t>2)</w:t>
      </w:r>
      <w:r w:rsidRPr="00161FF3">
        <w:rPr>
          <w:b w:val="0"/>
        </w:rPr>
        <w:t xml:space="preserve"> que sin perjuicio de la posición sustentada por el Organismo, se entiende que la solicitud del recaudo de adquisición de compra del Pliego de Condiciones, c</w:t>
      </w:r>
      <w:r w:rsidR="00161FF3">
        <w:rPr>
          <w:b w:val="0"/>
        </w:rPr>
        <w:t>ontraviene lo dispuesto por el A</w:t>
      </w:r>
      <w:r w:rsidRPr="00161FF3">
        <w:rPr>
          <w:b w:val="0"/>
        </w:rPr>
        <w:t>rtículo 48 del T.O.C.A.F., tal como fuera señalado en ocasión de observarse el gasto;</w:t>
      </w:r>
    </w:p>
    <w:p w:rsidR="00D81C5E" w:rsidRPr="00161FF3" w:rsidRDefault="00D81C5E" w:rsidP="00AD6ECA">
      <w:pPr>
        <w:pStyle w:val="Textoindependiente"/>
        <w:spacing w:after="0"/>
        <w:ind w:firstLine="2977"/>
        <w:rPr>
          <w:b w:val="0"/>
          <w:lang w:val="es-MX"/>
        </w:rPr>
      </w:pPr>
      <w:r w:rsidRPr="00161FF3">
        <w:t>3)</w:t>
      </w:r>
      <w:r w:rsidR="00161FF3">
        <w:rPr>
          <w:b w:val="0"/>
        </w:rPr>
        <w:t xml:space="preserve"> </w:t>
      </w:r>
      <w:r w:rsidRPr="00161FF3">
        <w:rPr>
          <w:b w:val="0"/>
          <w:lang w:val="es-MX"/>
        </w:rPr>
        <w:t>que en de</w:t>
      </w:r>
      <w:r w:rsidR="00161FF3">
        <w:rPr>
          <w:b w:val="0"/>
          <w:lang w:val="es-MX"/>
        </w:rPr>
        <w:t>finitiva se mantienen incambiada</w:t>
      </w:r>
      <w:r w:rsidRPr="00161FF3">
        <w:rPr>
          <w:b w:val="0"/>
          <w:lang w:val="es-MX"/>
        </w:rPr>
        <w:t>s las causales que dieron lugar a la observació</w:t>
      </w:r>
      <w:r w:rsidR="00AD6ECA">
        <w:rPr>
          <w:b w:val="0"/>
          <w:lang w:val="es-MX"/>
        </w:rPr>
        <w:t>n formulada con fecha 04.02.15;</w:t>
      </w:r>
    </w:p>
    <w:p w:rsidR="00D81C5E" w:rsidRDefault="00D81C5E" w:rsidP="00161FF3">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w:t>
      </w:r>
      <w:r w:rsidR="00161FF3">
        <w:rPr>
          <w:rFonts w:ascii="Arial" w:hAnsi="Arial" w:cs="Arial"/>
          <w:sz w:val="24"/>
          <w:szCs w:val="24"/>
        </w:rPr>
        <w:t>puesto y a lo dispuesto por el Artículo 211 L</w:t>
      </w:r>
      <w:r>
        <w:rPr>
          <w:rFonts w:ascii="Arial" w:hAnsi="Arial" w:cs="Arial"/>
          <w:sz w:val="24"/>
          <w:szCs w:val="24"/>
        </w:rPr>
        <w:t>iteral B) de la Constitución de la República;</w:t>
      </w:r>
    </w:p>
    <w:p w:rsidR="00D81C5E" w:rsidRDefault="00BB03E8" w:rsidP="00161FF3">
      <w:pPr>
        <w:spacing w:after="0" w:line="360" w:lineRule="auto"/>
        <w:jc w:val="center"/>
        <w:rPr>
          <w:rFonts w:ascii="Arial" w:hAnsi="Arial" w:cs="Arial"/>
          <w:b/>
          <w:bCs/>
          <w:sz w:val="24"/>
          <w:szCs w:val="24"/>
        </w:rPr>
      </w:pPr>
      <w:r>
        <w:rPr>
          <w:rFonts w:ascii="Arial" w:hAnsi="Arial" w:cs="Arial"/>
          <w:b/>
          <w:bCs/>
          <w:sz w:val="24"/>
          <w:szCs w:val="24"/>
        </w:rPr>
        <w:t>EL TRIBUNAL ACUERDA</w:t>
      </w:r>
    </w:p>
    <w:p w:rsidR="00D81C5E" w:rsidRDefault="00D81C5E" w:rsidP="00161FF3">
      <w:pPr>
        <w:numPr>
          <w:ilvl w:val="0"/>
          <w:numId w:val="1"/>
        </w:numPr>
        <w:spacing w:after="0" w:line="360" w:lineRule="auto"/>
        <w:jc w:val="both"/>
        <w:rPr>
          <w:rFonts w:ascii="Arial" w:hAnsi="Arial" w:cs="Arial"/>
          <w:sz w:val="24"/>
          <w:szCs w:val="24"/>
          <w:lang w:val="es-UY"/>
        </w:rPr>
      </w:pPr>
      <w:r>
        <w:rPr>
          <w:rFonts w:ascii="Arial" w:hAnsi="Arial" w:cs="Arial"/>
          <w:sz w:val="24"/>
          <w:szCs w:val="24"/>
        </w:rPr>
        <w:t xml:space="preserve">Mantener </w:t>
      </w:r>
      <w:r w:rsidR="00BB03E8">
        <w:rPr>
          <w:rFonts w:ascii="Arial" w:hAnsi="Arial" w:cs="Arial"/>
          <w:sz w:val="24"/>
          <w:szCs w:val="24"/>
          <w:lang w:val="es-UY"/>
        </w:rPr>
        <w:t>la observación formulada en S</w:t>
      </w:r>
      <w:r>
        <w:rPr>
          <w:rFonts w:ascii="Arial" w:hAnsi="Arial" w:cs="Arial"/>
          <w:sz w:val="24"/>
          <w:szCs w:val="24"/>
          <w:lang w:val="es-UY"/>
        </w:rPr>
        <w:t>esión de fecha 04.02.15;</w:t>
      </w:r>
    </w:p>
    <w:p w:rsidR="00D81C5E" w:rsidRDefault="00BB03E8" w:rsidP="00161FF3">
      <w:pPr>
        <w:numPr>
          <w:ilvl w:val="0"/>
          <w:numId w:val="1"/>
        </w:numPr>
        <w:spacing w:after="0" w:line="360" w:lineRule="auto"/>
        <w:jc w:val="both"/>
        <w:rPr>
          <w:rFonts w:ascii="Arial" w:hAnsi="Arial" w:cs="Arial"/>
          <w:b/>
          <w:bCs/>
          <w:i/>
          <w:iCs/>
          <w:sz w:val="24"/>
          <w:szCs w:val="24"/>
        </w:rPr>
      </w:pPr>
      <w:r>
        <w:rPr>
          <w:rFonts w:ascii="Arial" w:hAnsi="Arial" w:cs="Arial"/>
          <w:sz w:val="24"/>
          <w:szCs w:val="24"/>
        </w:rPr>
        <w:t>Comunicar a la Administración actuante</w:t>
      </w:r>
      <w:r w:rsidR="00D81C5E">
        <w:rPr>
          <w:rFonts w:ascii="Arial" w:hAnsi="Arial" w:cs="Arial"/>
          <w:sz w:val="24"/>
          <w:szCs w:val="24"/>
          <w:lang w:val="es-UY"/>
        </w:rPr>
        <w:t>;</w:t>
      </w:r>
    </w:p>
    <w:p w:rsidR="00BB03E8" w:rsidRPr="00BB03E8" w:rsidRDefault="00BB03E8" w:rsidP="00BB03E8">
      <w:pPr>
        <w:numPr>
          <w:ilvl w:val="0"/>
          <w:numId w:val="1"/>
        </w:numPr>
        <w:spacing w:after="0" w:line="360" w:lineRule="auto"/>
        <w:jc w:val="both"/>
        <w:rPr>
          <w:rFonts w:ascii="Arial" w:hAnsi="Arial" w:cs="Arial"/>
          <w:sz w:val="24"/>
          <w:szCs w:val="24"/>
        </w:rPr>
      </w:pPr>
      <w:r>
        <w:rPr>
          <w:rFonts w:ascii="Arial" w:hAnsi="Arial" w:cs="Arial"/>
          <w:sz w:val="24"/>
          <w:szCs w:val="24"/>
          <w:lang w:val="es-UY"/>
        </w:rPr>
        <w:t>Dar cuenta a la Asamblea General</w:t>
      </w:r>
      <w:r w:rsidR="00D81C5E">
        <w:t>.</w:t>
      </w:r>
    </w:p>
    <w:p w:rsidR="00D81C5E" w:rsidRPr="00BB03E8" w:rsidRDefault="00AD6ECA" w:rsidP="00BB03E8">
      <w:pPr>
        <w:spacing w:after="0" w:line="360" w:lineRule="auto"/>
        <w:ind w:hanging="426"/>
        <w:jc w:val="both"/>
        <w:rPr>
          <w:rFonts w:ascii="Arial" w:hAnsi="Arial" w:cs="Arial"/>
          <w:sz w:val="24"/>
          <w:szCs w:val="24"/>
        </w:rPr>
      </w:pPr>
      <w:proofErr w:type="gramStart"/>
      <w:r>
        <w:rPr>
          <w:rFonts w:ascii="Arial" w:hAnsi="Arial" w:cs="Arial"/>
          <w:sz w:val="24"/>
          <w:szCs w:val="24"/>
        </w:rPr>
        <w:t>dc</w:t>
      </w:r>
      <w:proofErr w:type="gramEnd"/>
    </w:p>
    <w:sectPr w:rsidR="00D81C5E" w:rsidRPr="00BB03E8" w:rsidSect="00BB03E8">
      <w:footerReference w:type="default" r:id="rId8"/>
      <w:pgSz w:w="11906" w:h="16838" w:code="9"/>
      <w:pgMar w:top="311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CA" w:rsidRDefault="00AD6EC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AD6ECA" w:rsidRDefault="00AD6EC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CA" w:rsidRDefault="00AD6ECA">
    <w:pPr>
      <w:pStyle w:val="Piedepgina"/>
      <w:jc w:val="right"/>
      <w:rPr>
        <w:rFonts w:ascii="Times New Roman" w:hAnsi="Times New Roman" w:cs="Times New Roman"/>
      </w:rPr>
    </w:pPr>
    <w:r>
      <w:fldChar w:fldCharType="begin"/>
    </w:r>
    <w:r>
      <w:instrText>PAGE   \* MERGEFORMAT</w:instrText>
    </w:r>
    <w:r>
      <w:fldChar w:fldCharType="separate"/>
    </w:r>
    <w:r>
      <w:rPr>
        <w:noProof/>
      </w:rPr>
      <w:t>1</w:t>
    </w:r>
    <w:r>
      <w:rPr>
        <w:noProof/>
      </w:rPr>
      <w:fldChar w:fldCharType="end"/>
    </w:r>
  </w:p>
  <w:p w:rsidR="00AD6ECA" w:rsidRDefault="00AD6ECA">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CA" w:rsidRDefault="00AD6EC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AD6ECA" w:rsidRDefault="00AD6EC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43E59"/>
    <w:multiLevelType w:val="hybridMultilevel"/>
    <w:tmpl w:val="484E2A48"/>
    <w:lvl w:ilvl="0" w:tplc="5204E15C">
      <w:start w:val="1"/>
      <w:numFmt w:val="decimal"/>
      <w:lvlText w:val="%1)"/>
      <w:lvlJc w:val="left"/>
      <w:pPr>
        <w:tabs>
          <w:tab w:val="num" w:pos="720"/>
        </w:tabs>
        <w:ind w:left="720" w:hanging="360"/>
      </w:pPr>
      <w:rPr>
        <w:rFonts w:ascii="Arial" w:hAnsi="Arial" w:cs="Arial" w:hint="default"/>
        <w:b/>
        <w:bCs/>
        <w:i w:val="0"/>
        <w:iCs w:val="0"/>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5E"/>
    <w:rsid w:val="00161FF3"/>
    <w:rsid w:val="00AD6ECA"/>
    <w:rsid w:val="00BB03E8"/>
    <w:rsid w:val="00D8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uiPriority w:val="99"/>
    <w:qFormat/>
    <w:pPr>
      <w:keepNext/>
      <w:spacing w:line="360" w:lineRule="auto"/>
      <w:jc w:val="center"/>
      <w:outlineLvl w:val="0"/>
    </w:pPr>
    <w:rPr>
      <w:rFonts w:ascii="Arial" w:hAnsi="Arial" w:cs="Arial"/>
      <w:b/>
      <w:bCs/>
      <w:sz w:val="24"/>
      <w:szCs w:val="24"/>
    </w:rPr>
  </w:style>
  <w:style w:type="paragraph" w:styleId="Ttulo2">
    <w:name w:val="heading 2"/>
    <w:basedOn w:val="Normal"/>
    <w:next w:val="Normal"/>
    <w:link w:val="Ttulo2Car"/>
    <w:uiPriority w:val="99"/>
    <w:qFormat/>
    <w:pPr>
      <w:keepNext/>
      <w:spacing w:line="360" w:lineRule="auto"/>
      <w:jc w:val="both"/>
      <w:outlineLvl w:val="1"/>
    </w:pPr>
    <w:rPr>
      <w:rFonts w:ascii="Arial" w:hAnsi="Arial" w:cs="Arial"/>
      <w:b/>
      <w:bCs/>
      <w:sz w:val="24"/>
      <w:szCs w:val="24"/>
    </w:rPr>
  </w:style>
  <w:style w:type="paragraph" w:styleId="Ttulo3">
    <w:name w:val="heading 3"/>
    <w:basedOn w:val="Normal"/>
    <w:next w:val="Normal"/>
    <w:link w:val="Ttulo3Car"/>
    <w:uiPriority w:val="99"/>
    <w:qFormat/>
    <w:pPr>
      <w:keepNext/>
      <w:spacing w:line="360" w:lineRule="auto"/>
      <w:jc w:val="both"/>
      <w:outlineLvl w:val="2"/>
    </w:pPr>
    <w:rPr>
      <w:rFonts w:ascii="Arial" w:hAnsi="Arial" w:cs="Arial"/>
      <w:i/>
      <w:iCs/>
      <w:sz w:val="24"/>
      <w:szCs w:val="24"/>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eastAsia="en-US"/>
    </w:rPr>
  </w:style>
  <w:style w:type="character" w:customStyle="1" w:styleId="Ttulo2Car">
    <w:name w:val="Título 2 Car"/>
    <w:basedOn w:val="Fuentedeprrafopredeter"/>
    <w:link w:val="Ttulo2"/>
    <w:uiPriority w:val="99"/>
    <w:rPr>
      <w:rFonts w:ascii="Cambria" w:hAnsi="Cambria" w:cs="Cambria"/>
      <w:b/>
      <w:bCs/>
      <w:i/>
      <w:iCs/>
      <w:sz w:val="28"/>
      <w:szCs w:val="28"/>
      <w:lang w:eastAsia="en-US"/>
    </w:rPr>
  </w:style>
  <w:style w:type="character" w:customStyle="1" w:styleId="Ttulo3Car">
    <w:name w:val="Título 3 Car"/>
    <w:basedOn w:val="Fuentedeprrafopredeter"/>
    <w:link w:val="Ttulo3"/>
    <w:uiPriority w:val="99"/>
    <w:rPr>
      <w:rFonts w:ascii="Cambria" w:hAnsi="Cambria" w:cs="Cambria"/>
      <w:b/>
      <w:bCs/>
      <w:sz w:val="26"/>
      <w:szCs w:val="26"/>
      <w:lang w:eastAsia="en-US"/>
    </w:rPr>
  </w:style>
  <w:style w:type="character" w:customStyle="1" w:styleId="Ttulo4Car">
    <w:name w:val="Título 4 Car"/>
    <w:basedOn w:val="Fuentedeprrafopredeter"/>
    <w:link w:val="Ttulo4"/>
    <w:uiPriority w:val="99"/>
    <w:rPr>
      <w:rFonts w:ascii="Times New Roman" w:hAnsi="Times New Roman" w:cs="Times New Roman"/>
      <w:b/>
      <w:bCs/>
      <w:sz w:val="28"/>
      <w:szCs w:val="28"/>
      <w:lang w:eastAsia="en-US"/>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Times New Roman" w:hAnsi="Times New Roman" w:cs="Times New Roma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cs="Times New Roman"/>
    </w:rPr>
  </w:style>
  <w:style w:type="paragraph" w:styleId="Textoindependiente">
    <w:name w:val="Body Text"/>
    <w:basedOn w:val="Normal"/>
    <w:link w:val="TextoindependienteCar"/>
    <w:uiPriority w:val="99"/>
    <w:pPr>
      <w:spacing w:line="360" w:lineRule="auto"/>
      <w:jc w:val="both"/>
    </w:pPr>
    <w:rPr>
      <w:rFonts w:ascii="Arial" w:hAnsi="Arial" w:cs="Arial"/>
      <w:b/>
      <w:bCs/>
      <w:sz w:val="24"/>
      <w:szCs w:val="24"/>
    </w:rPr>
  </w:style>
  <w:style w:type="character" w:customStyle="1" w:styleId="TextoindependienteCar">
    <w:name w:val="Texto independiente Car"/>
    <w:basedOn w:val="Fuentedeprrafopredeter"/>
    <w:link w:val="Textoindependiente"/>
    <w:uiPriority w:val="99"/>
    <w:rPr>
      <w:rFonts w:ascii="Calibri" w:hAnsi="Calibri" w:cs="Calibri"/>
      <w:lang w:eastAsia="en-US"/>
    </w:rPr>
  </w:style>
  <w:style w:type="paragraph" w:styleId="Textoindependiente2">
    <w:name w:val="Body Text 2"/>
    <w:basedOn w:val="Normal"/>
    <w:link w:val="Textoindependiente2Car"/>
    <w:uiPriority w:val="99"/>
    <w:pPr>
      <w:spacing w:after="120" w:line="240" w:lineRule="auto"/>
      <w:ind w:left="283"/>
    </w:pPr>
    <w:rPr>
      <w:rFonts w:ascii="Arial" w:hAnsi="Arial" w:cs="Arial"/>
      <w:sz w:val="24"/>
      <w:szCs w:val="24"/>
      <w:lang w:eastAsia="es-ES"/>
    </w:rPr>
  </w:style>
  <w:style w:type="character" w:customStyle="1" w:styleId="Textoindependiente2Car">
    <w:name w:val="Texto independiente 2 Car"/>
    <w:basedOn w:val="Fuentedeprrafopredeter"/>
    <w:link w:val="Textoindependiente2"/>
    <w:uiPriority w:val="99"/>
    <w:rPr>
      <w:rFonts w:ascii="Calibri" w:hAnsi="Calibri" w:cs="Calibri"/>
      <w:lang w:eastAsia="en-US"/>
    </w:rPr>
  </w:style>
  <w:style w:type="paragraph" w:styleId="Textodeglobo">
    <w:name w:val="Balloon Text"/>
    <w:basedOn w:val="Normal"/>
    <w:link w:val="TextodegloboCar"/>
    <w:uiPriority w:val="99"/>
    <w:semiHidden/>
    <w:unhideWhenUsed/>
    <w:rsid w:val="00BB0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03E8"/>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uiPriority w:val="99"/>
    <w:qFormat/>
    <w:pPr>
      <w:keepNext/>
      <w:spacing w:line="360" w:lineRule="auto"/>
      <w:jc w:val="center"/>
      <w:outlineLvl w:val="0"/>
    </w:pPr>
    <w:rPr>
      <w:rFonts w:ascii="Arial" w:hAnsi="Arial" w:cs="Arial"/>
      <w:b/>
      <w:bCs/>
      <w:sz w:val="24"/>
      <w:szCs w:val="24"/>
    </w:rPr>
  </w:style>
  <w:style w:type="paragraph" w:styleId="Ttulo2">
    <w:name w:val="heading 2"/>
    <w:basedOn w:val="Normal"/>
    <w:next w:val="Normal"/>
    <w:link w:val="Ttulo2Car"/>
    <w:uiPriority w:val="99"/>
    <w:qFormat/>
    <w:pPr>
      <w:keepNext/>
      <w:spacing w:line="360" w:lineRule="auto"/>
      <w:jc w:val="both"/>
      <w:outlineLvl w:val="1"/>
    </w:pPr>
    <w:rPr>
      <w:rFonts w:ascii="Arial" w:hAnsi="Arial" w:cs="Arial"/>
      <w:b/>
      <w:bCs/>
      <w:sz w:val="24"/>
      <w:szCs w:val="24"/>
    </w:rPr>
  </w:style>
  <w:style w:type="paragraph" w:styleId="Ttulo3">
    <w:name w:val="heading 3"/>
    <w:basedOn w:val="Normal"/>
    <w:next w:val="Normal"/>
    <w:link w:val="Ttulo3Car"/>
    <w:uiPriority w:val="99"/>
    <w:qFormat/>
    <w:pPr>
      <w:keepNext/>
      <w:spacing w:line="360" w:lineRule="auto"/>
      <w:jc w:val="both"/>
      <w:outlineLvl w:val="2"/>
    </w:pPr>
    <w:rPr>
      <w:rFonts w:ascii="Arial" w:hAnsi="Arial" w:cs="Arial"/>
      <w:i/>
      <w:iCs/>
      <w:sz w:val="24"/>
      <w:szCs w:val="24"/>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eastAsia="en-US"/>
    </w:rPr>
  </w:style>
  <w:style w:type="character" w:customStyle="1" w:styleId="Ttulo2Car">
    <w:name w:val="Título 2 Car"/>
    <w:basedOn w:val="Fuentedeprrafopredeter"/>
    <w:link w:val="Ttulo2"/>
    <w:uiPriority w:val="99"/>
    <w:rPr>
      <w:rFonts w:ascii="Cambria" w:hAnsi="Cambria" w:cs="Cambria"/>
      <w:b/>
      <w:bCs/>
      <w:i/>
      <w:iCs/>
      <w:sz w:val="28"/>
      <w:szCs w:val="28"/>
      <w:lang w:eastAsia="en-US"/>
    </w:rPr>
  </w:style>
  <w:style w:type="character" w:customStyle="1" w:styleId="Ttulo3Car">
    <w:name w:val="Título 3 Car"/>
    <w:basedOn w:val="Fuentedeprrafopredeter"/>
    <w:link w:val="Ttulo3"/>
    <w:uiPriority w:val="99"/>
    <w:rPr>
      <w:rFonts w:ascii="Cambria" w:hAnsi="Cambria" w:cs="Cambria"/>
      <w:b/>
      <w:bCs/>
      <w:sz w:val="26"/>
      <w:szCs w:val="26"/>
      <w:lang w:eastAsia="en-US"/>
    </w:rPr>
  </w:style>
  <w:style w:type="character" w:customStyle="1" w:styleId="Ttulo4Car">
    <w:name w:val="Título 4 Car"/>
    <w:basedOn w:val="Fuentedeprrafopredeter"/>
    <w:link w:val="Ttulo4"/>
    <w:uiPriority w:val="99"/>
    <w:rPr>
      <w:rFonts w:ascii="Times New Roman" w:hAnsi="Times New Roman" w:cs="Times New Roman"/>
      <w:b/>
      <w:bCs/>
      <w:sz w:val="28"/>
      <w:szCs w:val="28"/>
      <w:lang w:eastAsia="en-US"/>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Times New Roman" w:hAnsi="Times New Roman" w:cs="Times New Roma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cs="Times New Roman"/>
    </w:rPr>
  </w:style>
  <w:style w:type="paragraph" w:styleId="Textoindependiente">
    <w:name w:val="Body Text"/>
    <w:basedOn w:val="Normal"/>
    <w:link w:val="TextoindependienteCar"/>
    <w:uiPriority w:val="99"/>
    <w:pPr>
      <w:spacing w:line="360" w:lineRule="auto"/>
      <w:jc w:val="both"/>
    </w:pPr>
    <w:rPr>
      <w:rFonts w:ascii="Arial" w:hAnsi="Arial" w:cs="Arial"/>
      <w:b/>
      <w:bCs/>
      <w:sz w:val="24"/>
      <w:szCs w:val="24"/>
    </w:rPr>
  </w:style>
  <w:style w:type="character" w:customStyle="1" w:styleId="TextoindependienteCar">
    <w:name w:val="Texto independiente Car"/>
    <w:basedOn w:val="Fuentedeprrafopredeter"/>
    <w:link w:val="Textoindependiente"/>
    <w:uiPriority w:val="99"/>
    <w:rPr>
      <w:rFonts w:ascii="Calibri" w:hAnsi="Calibri" w:cs="Calibri"/>
      <w:lang w:eastAsia="en-US"/>
    </w:rPr>
  </w:style>
  <w:style w:type="paragraph" w:styleId="Textoindependiente2">
    <w:name w:val="Body Text 2"/>
    <w:basedOn w:val="Normal"/>
    <w:link w:val="Textoindependiente2Car"/>
    <w:uiPriority w:val="99"/>
    <w:pPr>
      <w:spacing w:after="120" w:line="240" w:lineRule="auto"/>
      <w:ind w:left="283"/>
    </w:pPr>
    <w:rPr>
      <w:rFonts w:ascii="Arial" w:hAnsi="Arial" w:cs="Arial"/>
      <w:sz w:val="24"/>
      <w:szCs w:val="24"/>
      <w:lang w:eastAsia="es-ES"/>
    </w:rPr>
  </w:style>
  <w:style w:type="character" w:customStyle="1" w:styleId="Textoindependiente2Car">
    <w:name w:val="Texto independiente 2 Car"/>
    <w:basedOn w:val="Fuentedeprrafopredeter"/>
    <w:link w:val="Textoindependiente2"/>
    <w:uiPriority w:val="99"/>
    <w:rPr>
      <w:rFonts w:ascii="Calibri" w:hAnsi="Calibri" w:cs="Calibri"/>
      <w:lang w:eastAsia="en-US"/>
    </w:rPr>
  </w:style>
  <w:style w:type="paragraph" w:styleId="Textodeglobo">
    <w:name w:val="Balloon Text"/>
    <w:basedOn w:val="Normal"/>
    <w:link w:val="TextodegloboCar"/>
    <w:uiPriority w:val="99"/>
    <w:semiHidden/>
    <w:unhideWhenUsed/>
    <w:rsid w:val="00BB0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03E8"/>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LICITACIÓN PÚBLICA</vt:lpstr>
    </vt:vector>
  </TitlesOfParts>
  <Company>Tribunal de Cuentas</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dc:title>
  <dc:creator>Tribunal1</dc:creator>
  <cp:lastModifiedBy> </cp:lastModifiedBy>
  <cp:revision>3</cp:revision>
  <cp:lastPrinted>2015-06-01T19:59:00Z</cp:lastPrinted>
  <dcterms:created xsi:type="dcterms:W3CDTF">2015-06-01T20:01:00Z</dcterms:created>
  <dcterms:modified xsi:type="dcterms:W3CDTF">2015-07-03T21:31:00Z</dcterms:modified>
</cp:coreProperties>
</file>