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95" w:rsidRDefault="009D6495" w:rsidP="009D6495">
      <w:pPr>
        <w:tabs>
          <w:tab w:val="center" w:pos="4253"/>
        </w:tabs>
        <w:suppressAutoHyphens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RESOLUCION ADOPTADA POR EL</w:t>
      </w:r>
    </w:p>
    <w:p w:rsidR="009D6495" w:rsidRDefault="009D6495" w:rsidP="009D6495">
      <w:pPr>
        <w:tabs>
          <w:tab w:val="left" w:pos="-720"/>
        </w:tabs>
        <w:suppressAutoHyphens/>
        <w:jc w:val="center"/>
        <w:rPr>
          <w:rFonts w:eastAsia="Calibri"/>
          <w:b/>
          <w:lang w:val="es-ES_tradnl" w:eastAsia="en-US"/>
        </w:rPr>
      </w:pPr>
    </w:p>
    <w:p w:rsidR="009D6495" w:rsidRDefault="009D6495" w:rsidP="009D6495">
      <w:pPr>
        <w:tabs>
          <w:tab w:val="center" w:pos="4253"/>
        </w:tabs>
        <w:suppressAutoHyphens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TRIBUNAL DE CUENTAS</w:t>
      </w:r>
    </w:p>
    <w:p w:rsidR="009D6495" w:rsidRDefault="009D6495" w:rsidP="009D6495">
      <w:pPr>
        <w:tabs>
          <w:tab w:val="left" w:pos="-720"/>
        </w:tabs>
        <w:suppressAutoHyphens/>
        <w:jc w:val="center"/>
        <w:rPr>
          <w:rFonts w:eastAsia="Calibri"/>
          <w:b/>
          <w:lang w:val="es-ES_tradnl" w:eastAsia="en-US"/>
        </w:rPr>
      </w:pPr>
    </w:p>
    <w:p w:rsidR="009D6495" w:rsidRDefault="009D6495" w:rsidP="009D6495">
      <w:pPr>
        <w:tabs>
          <w:tab w:val="center" w:pos="4253"/>
        </w:tabs>
        <w:suppressAutoHyphens/>
        <w:jc w:val="center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EN SESION DE FECHA 6 DE MAYO DE 2015</w:t>
      </w:r>
    </w:p>
    <w:p w:rsidR="009D6495" w:rsidRDefault="009D6495" w:rsidP="009D6495">
      <w:pPr>
        <w:tabs>
          <w:tab w:val="center" w:pos="4253"/>
        </w:tabs>
        <w:suppressAutoHyphens/>
        <w:jc w:val="center"/>
        <w:rPr>
          <w:rFonts w:eastAsia="Calibri"/>
          <w:b/>
          <w:lang w:val="es-ES_tradnl" w:eastAsia="en-US"/>
        </w:rPr>
      </w:pPr>
    </w:p>
    <w:p w:rsidR="009D6495" w:rsidRPr="009D6495" w:rsidRDefault="009D6495" w:rsidP="009D6495">
      <w:pPr>
        <w:tabs>
          <w:tab w:val="center" w:pos="4253"/>
        </w:tabs>
        <w:suppressAutoHyphens/>
        <w:jc w:val="center"/>
        <w:rPr>
          <w:rFonts w:eastAsia="Calibri"/>
          <w:b/>
          <w:lang w:val="es-ES_tradnl" w:eastAsia="en-US"/>
        </w:rPr>
      </w:pPr>
      <w:r w:rsidRPr="009D6495">
        <w:rPr>
          <w:rFonts w:eastAsia="Calibri"/>
          <w:b/>
          <w:lang w:val="es-ES_tradnl" w:eastAsia="en-US"/>
        </w:rPr>
        <w:t>(E. E. Nº 2015-17-1-000</w:t>
      </w:r>
      <w:r w:rsidRPr="009D6495">
        <w:rPr>
          <w:rFonts w:eastAsia="Calibri"/>
          <w:b/>
          <w:lang w:val="es-ES_tradnl" w:eastAsia="en-US"/>
        </w:rPr>
        <w:t>2140</w:t>
      </w:r>
      <w:r w:rsidRPr="009D6495">
        <w:rPr>
          <w:rFonts w:eastAsia="Calibri"/>
          <w:b/>
          <w:lang w:val="es-ES_tradnl" w:eastAsia="en-US"/>
        </w:rPr>
        <w:t xml:space="preserve">, </w:t>
      </w:r>
      <w:proofErr w:type="spellStart"/>
      <w:r w:rsidRPr="009D6495">
        <w:rPr>
          <w:rFonts w:eastAsia="Calibri"/>
          <w:b/>
          <w:lang w:val="es-ES_tradnl" w:eastAsia="en-US"/>
        </w:rPr>
        <w:t>Ent</w:t>
      </w:r>
      <w:proofErr w:type="spellEnd"/>
      <w:r w:rsidRPr="009D6495">
        <w:rPr>
          <w:rFonts w:eastAsia="Calibri"/>
          <w:b/>
          <w:lang w:val="es-ES_tradnl" w:eastAsia="en-US"/>
        </w:rPr>
        <w:t>. N° 1</w:t>
      </w:r>
      <w:r>
        <w:rPr>
          <w:rFonts w:eastAsia="Calibri"/>
          <w:b/>
          <w:lang w:val="es-ES_tradnl" w:eastAsia="en-US"/>
        </w:rPr>
        <w:t>717</w:t>
      </w:r>
      <w:r w:rsidRPr="009D6495">
        <w:rPr>
          <w:rFonts w:eastAsia="Calibri"/>
          <w:b/>
          <w:lang w:val="es-ES_tradnl" w:eastAsia="en-US"/>
        </w:rPr>
        <w:t>/15)</w:t>
      </w:r>
    </w:p>
    <w:p w:rsidR="009D6495" w:rsidRDefault="009D6495" w:rsidP="009D6495">
      <w:pPr>
        <w:rPr>
          <w:rFonts w:eastAsia="Times New Roman"/>
          <w:lang w:val="es-MX"/>
        </w:rPr>
      </w:pPr>
    </w:p>
    <w:p w:rsidR="009D6495" w:rsidRDefault="009D6495" w:rsidP="00D60FD2">
      <w:pPr>
        <w:spacing w:line="360" w:lineRule="auto"/>
        <w:jc w:val="both"/>
        <w:rPr>
          <w:b/>
          <w:bCs/>
        </w:rPr>
      </w:pPr>
    </w:p>
    <w:p w:rsidR="00D60FD2" w:rsidRDefault="00D60FD2" w:rsidP="009D6495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estos antecedentes remitidos por </w:t>
      </w:r>
      <w:proofErr w:type="spellStart"/>
      <w:r>
        <w:t>P</w:t>
      </w:r>
      <w:r w:rsidR="00ED2CF4">
        <w:t>luna</w:t>
      </w:r>
      <w:proofErr w:type="spellEnd"/>
      <w:r>
        <w:t xml:space="preserve"> Ente Autónomo, relacionados con el gasto derivado de la contratación de los servicios del </w:t>
      </w:r>
      <w:r w:rsidR="00ED2CF4">
        <w:t xml:space="preserve">                  </w:t>
      </w:r>
      <w:r>
        <w:t xml:space="preserve">Sr. </w:t>
      </w:r>
      <w:proofErr w:type="spellStart"/>
      <w:r>
        <w:t>Luiz</w:t>
      </w:r>
      <w:proofErr w:type="spellEnd"/>
      <w:r>
        <w:t xml:space="preserve"> Paulo </w:t>
      </w:r>
      <w:proofErr w:type="spellStart"/>
      <w:r>
        <w:t>Alegrussi</w:t>
      </w:r>
      <w:proofErr w:type="spellEnd"/>
      <w:r>
        <w:t>;</w:t>
      </w:r>
    </w:p>
    <w:p w:rsidR="009D6495" w:rsidRDefault="009D6495" w:rsidP="009D6495">
      <w:pPr>
        <w:tabs>
          <w:tab w:val="left" w:pos="1920"/>
        </w:tabs>
        <w:spacing w:line="360" w:lineRule="auto"/>
        <w:ind w:firstLine="851"/>
        <w:jc w:val="both"/>
      </w:pPr>
      <w:r>
        <w:rPr>
          <w:b/>
          <w:bCs/>
        </w:rPr>
        <w:t xml:space="preserve">RESULTANDO: </w:t>
      </w:r>
      <w:r w:rsidR="00D60FD2">
        <w:rPr>
          <w:b/>
          <w:bCs/>
        </w:rPr>
        <w:t>1)</w:t>
      </w:r>
      <w:r w:rsidR="009C3226">
        <w:rPr>
          <w:b/>
          <w:bCs/>
        </w:rPr>
        <w:t xml:space="preserve"> </w:t>
      </w:r>
      <w:r w:rsidR="009C3226" w:rsidRPr="004927D9">
        <w:rPr>
          <w:bCs/>
        </w:rPr>
        <w:t>que se</w:t>
      </w:r>
      <w:r w:rsidR="009A2342" w:rsidRPr="004927D9">
        <w:rPr>
          <w:bCs/>
        </w:rPr>
        <w:t xml:space="preserve"> remite</w:t>
      </w:r>
      <w:r w:rsidR="009A2342">
        <w:rPr>
          <w:b/>
          <w:bCs/>
        </w:rPr>
        <w:t xml:space="preserve"> </w:t>
      </w:r>
      <w:r w:rsidR="009A2342">
        <w:t xml:space="preserve">Resolución Nº 16.478 dictada por el Directorio de </w:t>
      </w:r>
      <w:proofErr w:type="spellStart"/>
      <w:r w:rsidR="009A2342">
        <w:t>Pluna</w:t>
      </w:r>
      <w:proofErr w:type="spellEnd"/>
      <w:r w:rsidR="009A2342">
        <w:t xml:space="preserve"> E.A. el 9/3/15, en la </w:t>
      </w:r>
      <w:r w:rsidR="008F04CF">
        <w:t xml:space="preserve">que </w:t>
      </w:r>
      <w:r w:rsidR="009A2342">
        <w:t>se señala que</w:t>
      </w:r>
      <w:r w:rsidR="004927D9">
        <w:t xml:space="preserve">: </w:t>
      </w:r>
    </w:p>
    <w:p w:rsidR="009D6495" w:rsidRDefault="004927D9" w:rsidP="009D6495">
      <w:pPr>
        <w:tabs>
          <w:tab w:val="left" w:pos="1920"/>
        </w:tabs>
        <w:spacing w:line="360" w:lineRule="auto"/>
        <w:jc w:val="both"/>
      </w:pPr>
      <w:r w:rsidRPr="004927D9">
        <w:rPr>
          <w:b/>
        </w:rPr>
        <w:t>a)</w:t>
      </w:r>
      <w:r w:rsidR="009A2342">
        <w:t xml:space="preserve"> el concurso de </w:t>
      </w:r>
      <w:proofErr w:type="spellStart"/>
      <w:r w:rsidR="009A2342">
        <w:t>P</w:t>
      </w:r>
      <w:r>
        <w:t>l</w:t>
      </w:r>
      <w:r w:rsidR="009A2342">
        <w:t>una</w:t>
      </w:r>
      <w:proofErr w:type="spellEnd"/>
      <w:r w:rsidR="009A2342">
        <w:t xml:space="preserve"> S.A. fue resu</w:t>
      </w:r>
      <w:r>
        <w:t>elto</w:t>
      </w:r>
      <w:r w:rsidR="009A2342">
        <w:t xml:space="preserve"> por su Directorio y presentado el 9/7/12, </w:t>
      </w:r>
    </w:p>
    <w:p w:rsidR="009D6495" w:rsidRDefault="009A2342" w:rsidP="009D6495">
      <w:pPr>
        <w:tabs>
          <w:tab w:val="left" w:pos="1920"/>
        </w:tabs>
        <w:spacing w:line="360" w:lineRule="auto"/>
        <w:jc w:val="both"/>
      </w:pPr>
      <w:r w:rsidRPr="004927D9">
        <w:rPr>
          <w:b/>
        </w:rPr>
        <w:t>b)</w:t>
      </w:r>
      <w:r>
        <w:t xml:space="preserve"> la </w:t>
      </w:r>
      <w:r w:rsidR="004927D9">
        <w:t>legislación</w:t>
      </w:r>
      <w:r>
        <w:t xml:space="preserve"> de Brasil (Ley 11.101/005), jurisdicción en la cual </w:t>
      </w:r>
      <w:proofErr w:type="spellStart"/>
      <w:r w:rsidR="004927D9">
        <w:t>P</w:t>
      </w:r>
      <w:r w:rsidR="00ED2CF4">
        <w:t>l</w:t>
      </w:r>
      <w:r w:rsidR="004927D9">
        <w:t>una</w:t>
      </w:r>
      <w:proofErr w:type="spellEnd"/>
      <w:r>
        <w:t xml:space="preserve"> S.A.</w:t>
      </w:r>
      <w:r w:rsidR="00EF128B">
        <w:t xml:space="preserve"> tiene sucursal, impone </w:t>
      </w:r>
      <w:r w:rsidR="004927D9">
        <w:t>igualmente</w:t>
      </w:r>
      <w:r w:rsidR="00EF128B">
        <w:t xml:space="preserve"> al deudor la obligación de </w:t>
      </w:r>
      <w:r w:rsidR="004927D9">
        <w:t>solicitar</w:t>
      </w:r>
      <w:r w:rsidR="00EF128B">
        <w:t xml:space="preserve"> su propia </w:t>
      </w:r>
      <w:r w:rsidR="004927D9">
        <w:t>quiebra</w:t>
      </w:r>
      <w:r w:rsidR="00EF128B">
        <w:t xml:space="preserve"> o concurso, en los casos de quiebra (o concurso con proceso de liquidación) de su cas</w:t>
      </w:r>
      <w:r w:rsidR="007960D2">
        <w:t>a</w:t>
      </w:r>
      <w:r w:rsidR="00EF128B">
        <w:t xml:space="preserve"> </w:t>
      </w:r>
      <w:r w:rsidR="004927D9">
        <w:t>matriz</w:t>
      </w:r>
      <w:r w:rsidR="00EF128B">
        <w:t xml:space="preserve"> y/o en caso de insolvencia o cesación de pagos, </w:t>
      </w:r>
      <w:r w:rsidR="00EF128B" w:rsidRPr="004927D9">
        <w:rPr>
          <w:b/>
        </w:rPr>
        <w:t>c)</w:t>
      </w:r>
      <w:r w:rsidR="00EF128B">
        <w:t xml:space="preserve"> que por </w:t>
      </w:r>
      <w:r w:rsidR="00B72249">
        <w:t>R</w:t>
      </w:r>
      <w:r w:rsidR="004927D9">
        <w:t>esolución</w:t>
      </w:r>
      <w:r w:rsidR="00EF128B">
        <w:t xml:space="preserve"> del 13/7/12, el Directorio de </w:t>
      </w:r>
      <w:proofErr w:type="spellStart"/>
      <w:r w:rsidR="004927D9">
        <w:t>P</w:t>
      </w:r>
      <w:r w:rsidR="007960D2">
        <w:t>l</w:t>
      </w:r>
      <w:r w:rsidR="004927D9">
        <w:t>una</w:t>
      </w:r>
      <w:proofErr w:type="spellEnd"/>
      <w:r w:rsidR="00EF128B">
        <w:t xml:space="preserve"> S.A. </w:t>
      </w:r>
      <w:r w:rsidR="004927D9">
        <w:t>decidió</w:t>
      </w:r>
      <w:r w:rsidR="00EF128B">
        <w:t xml:space="preserve"> llevar adelante </w:t>
      </w:r>
      <w:r w:rsidR="004927D9">
        <w:t>los</w:t>
      </w:r>
      <w:r w:rsidR="00EF128B">
        <w:t xml:space="preserve"> procesos concursales en las </w:t>
      </w:r>
      <w:r w:rsidR="004927D9">
        <w:t>jurisdicciones</w:t>
      </w:r>
      <w:r w:rsidR="00EF128B">
        <w:t xml:space="preserve"> e</w:t>
      </w:r>
      <w:r w:rsidR="007960D2">
        <w:t>n</w:t>
      </w:r>
      <w:r w:rsidR="00EF128B">
        <w:t xml:space="preserve"> que la sociedad tuviera </w:t>
      </w:r>
      <w:r w:rsidR="004927D9">
        <w:t>sucursales</w:t>
      </w:r>
      <w:r w:rsidR="00B72249">
        <w:t xml:space="preserve">, </w:t>
      </w:r>
    </w:p>
    <w:p w:rsidR="004B21B3" w:rsidRDefault="00B72249" w:rsidP="009D6495">
      <w:pPr>
        <w:tabs>
          <w:tab w:val="left" w:pos="1920"/>
        </w:tabs>
        <w:spacing w:line="360" w:lineRule="auto"/>
        <w:jc w:val="both"/>
      </w:pPr>
      <w:r w:rsidRPr="00B72249">
        <w:rPr>
          <w:b/>
        </w:rPr>
        <w:t>d)</w:t>
      </w:r>
      <w:r w:rsidR="009A2342">
        <w:t xml:space="preserve"> </w:t>
      </w:r>
      <w:r w:rsidR="004B21B3">
        <w:t>que</w:t>
      </w:r>
      <w:r w:rsidR="00D60FD2">
        <w:t xml:space="preserve"> el  Estudio Motta, </w:t>
      </w:r>
      <w:r w:rsidR="004927D9">
        <w:t>Fernández</w:t>
      </w:r>
      <w:r w:rsidR="00D60FD2">
        <w:t xml:space="preserve"> Rocha-</w:t>
      </w:r>
      <w:proofErr w:type="spellStart"/>
      <w:r w:rsidR="00D60FD2">
        <w:t>Advogados</w:t>
      </w:r>
      <w:proofErr w:type="spellEnd"/>
      <w:r w:rsidR="00D60FD2">
        <w:t xml:space="preserve">, </w:t>
      </w:r>
      <w:r w:rsidR="00C54138">
        <w:t xml:space="preserve">encargado del </w:t>
      </w:r>
      <w:r w:rsidR="004927D9">
        <w:t>procedimiento</w:t>
      </w:r>
      <w:r w:rsidR="00C54138">
        <w:t xml:space="preserve"> de </w:t>
      </w:r>
      <w:r w:rsidR="004927D9">
        <w:t>falencia</w:t>
      </w:r>
      <w:r w:rsidR="00C54138">
        <w:t xml:space="preserve"> </w:t>
      </w:r>
      <w:r w:rsidR="004927D9">
        <w:t>desarrollado</w:t>
      </w:r>
      <w:r w:rsidR="00C54138">
        <w:t xml:space="preserve"> en San </w:t>
      </w:r>
      <w:r w:rsidR="004927D9">
        <w:t>Pablo,</w:t>
      </w:r>
      <w:r w:rsidR="00C54138">
        <w:t xml:space="preserve"> Br</w:t>
      </w:r>
      <w:r w:rsidR="004927D9">
        <w:t>a</w:t>
      </w:r>
      <w:r w:rsidR="00C54138">
        <w:t xml:space="preserve">sil, </w:t>
      </w:r>
      <w:r w:rsidR="00EF128B">
        <w:t xml:space="preserve">ha </w:t>
      </w:r>
      <w:r w:rsidR="00D60FD2">
        <w:t>recomend</w:t>
      </w:r>
      <w:r w:rsidR="00EF128B">
        <w:t>ado</w:t>
      </w:r>
      <w:r w:rsidR="00D60FD2">
        <w:t xml:space="preserve"> la contratación de los servicios del Sr. Luis Paulo </w:t>
      </w:r>
      <w:proofErr w:type="spellStart"/>
      <w:r w:rsidR="00D60FD2">
        <w:t>Alegrussi</w:t>
      </w:r>
      <w:proofErr w:type="spellEnd"/>
      <w:r w:rsidR="00D60FD2">
        <w:t xml:space="preserve"> para que </w:t>
      </w:r>
      <w:r w:rsidR="004927D9">
        <w:t>continúe</w:t>
      </w:r>
      <w:r w:rsidR="00D60FD2">
        <w:t xml:space="preserve"> con las tareas de guarda y </w:t>
      </w:r>
      <w:r w:rsidR="004927D9">
        <w:t>gerenciamiento</w:t>
      </w:r>
      <w:r w:rsidR="00D60FD2">
        <w:t xml:space="preserve"> de los documentos contables y jurídicos-</w:t>
      </w:r>
      <w:r w:rsidR="004927D9">
        <w:t>administrativos</w:t>
      </w:r>
      <w:r w:rsidR="00D60FD2">
        <w:t xml:space="preserve"> de mayor relevancia de </w:t>
      </w:r>
      <w:proofErr w:type="spellStart"/>
      <w:r w:rsidR="00D60FD2">
        <w:t>Pluna</w:t>
      </w:r>
      <w:proofErr w:type="spellEnd"/>
      <w:r w:rsidR="00D60FD2">
        <w:t xml:space="preserve"> Brasil</w:t>
      </w:r>
      <w:r w:rsidR="004B21B3">
        <w:t xml:space="preserve">, recibir las </w:t>
      </w:r>
      <w:r w:rsidR="004927D9">
        <w:t>demandas</w:t>
      </w:r>
      <w:r w:rsidR="004B21B3">
        <w:t xml:space="preserve"> judiciales y/o </w:t>
      </w:r>
      <w:r w:rsidR="004927D9">
        <w:t>administrativas</w:t>
      </w:r>
      <w:r w:rsidR="004B21B3">
        <w:t xml:space="preserve">, atender las </w:t>
      </w:r>
      <w:r w:rsidR="004927D9">
        <w:t>demandas</w:t>
      </w:r>
      <w:r w:rsidR="004B21B3">
        <w:t xml:space="preserve"> de la autoridad civil aeronáutica (ANAC) que requiere mantener un representante legal según los términos del </w:t>
      </w:r>
      <w:r w:rsidR="00ED2CF4">
        <w:t>A</w:t>
      </w:r>
      <w:r w:rsidR="004B21B3">
        <w:t>rt</w:t>
      </w:r>
      <w:r w:rsidR="00ED2CF4">
        <w:t>ículo</w:t>
      </w:r>
      <w:r w:rsidR="004B21B3">
        <w:t xml:space="preserve"> 208 del Código Brasilero de </w:t>
      </w:r>
      <w:r w:rsidR="004927D9">
        <w:t>Aeronáutica</w:t>
      </w:r>
      <w:r w:rsidR="004B21B3">
        <w:t>, recibir los pedidos de embargo de bi</w:t>
      </w:r>
      <w:r w:rsidR="007960D2">
        <w:t>e</w:t>
      </w:r>
      <w:r w:rsidR="004B21B3">
        <w:t xml:space="preserve">nes y atender los oficiales de Justicia, atender a los órganos federales y </w:t>
      </w:r>
      <w:r w:rsidR="004927D9">
        <w:t>asesoramiento</w:t>
      </w:r>
      <w:r w:rsidR="004B21B3">
        <w:t xml:space="preserve"> sobre histórico de </w:t>
      </w:r>
      <w:proofErr w:type="spellStart"/>
      <w:r w:rsidR="004B21B3">
        <w:t>Pluna</w:t>
      </w:r>
      <w:proofErr w:type="spellEnd"/>
      <w:r w:rsidR="004B21B3">
        <w:t xml:space="preserve"> en Brasil, por un honorario mensual de U$S 7.014,81, hasta la obtención de la </w:t>
      </w:r>
      <w:proofErr w:type="spellStart"/>
      <w:r w:rsidR="004927D9">
        <w:t>autofalencia</w:t>
      </w:r>
      <w:proofErr w:type="spellEnd"/>
      <w:r w:rsidR="004B21B3">
        <w:t xml:space="preserve"> y que dichas funciones empiecen </w:t>
      </w:r>
      <w:r w:rsidR="004927D9">
        <w:t>a ser</w:t>
      </w:r>
      <w:r w:rsidR="004B21B3">
        <w:t xml:space="preserve"> </w:t>
      </w:r>
      <w:r w:rsidR="004927D9">
        <w:t>desempeñadas</w:t>
      </w:r>
      <w:r w:rsidR="004B21B3">
        <w:t xml:space="preserve"> por el </w:t>
      </w:r>
      <w:r w:rsidR="004927D9">
        <w:t>administrador</w:t>
      </w:r>
      <w:r w:rsidR="004B21B3">
        <w:t xml:space="preserve"> designado </w:t>
      </w:r>
      <w:r w:rsidR="004927D9">
        <w:t>judicialmente</w:t>
      </w:r>
      <w:r w:rsidR="004B21B3">
        <w:t>;</w:t>
      </w:r>
    </w:p>
    <w:p w:rsidR="00EF128B" w:rsidRDefault="00EF128B" w:rsidP="00ED2CF4">
      <w:pPr>
        <w:tabs>
          <w:tab w:val="left" w:pos="1920"/>
        </w:tabs>
        <w:spacing w:line="360" w:lineRule="auto"/>
        <w:ind w:firstLine="2694"/>
        <w:jc w:val="both"/>
      </w:pPr>
      <w:r w:rsidRPr="004927D9">
        <w:rPr>
          <w:b/>
        </w:rPr>
        <w:lastRenderedPageBreak/>
        <w:t>2)</w:t>
      </w:r>
      <w:r>
        <w:t xml:space="preserve"> que en función de lo expuesto, por la </w:t>
      </w:r>
      <w:r w:rsidR="004927D9">
        <w:t>mencionada</w:t>
      </w:r>
      <w:r>
        <w:t xml:space="preserve"> </w:t>
      </w:r>
      <w:r w:rsidR="004927D9">
        <w:t>R</w:t>
      </w:r>
      <w:r>
        <w:t>esolución</w:t>
      </w:r>
      <w:r w:rsidR="00B72249">
        <w:t>,</w:t>
      </w:r>
      <w:r>
        <w:t xml:space="preserve"> se ha dispuesto autorizar al </w:t>
      </w:r>
      <w:r w:rsidR="004927D9">
        <w:t>E</w:t>
      </w:r>
      <w:r>
        <w:t xml:space="preserve">studio Motta, </w:t>
      </w:r>
      <w:r w:rsidR="004927D9">
        <w:t>Fernández</w:t>
      </w:r>
      <w:r>
        <w:t xml:space="preserve"> </w:t>
      </w:r>
      <w:r w:rsidR="00ED2CF4">
        <w:t xml:space="preserve">                    </w:t>
      </w:r>
      <w:r>
        <w:t xml:space="preserve">Rocha – </w:t>
      </w:r>
      <w:proofErr w:type="spellStart"/>
      <w:r>
        <w:t>Advogados</w:t>
      </w:r>
      <w:proofErr w:type="spellEnd"/>
      <w:r>
        <w:t xml:space="preserve"> para que contrate </w:t>
      </w:r>
      <w:r w:rsidR="004927D9">
        <w:t>los</w:t>
      </w:r>
      <w:r>
        <w:t xml:space="preserve"> servicios del Sr. </w:t>
      </w:r>
      <w:proofErr w:type="spellStart"/>
      <w:r>
        <w:t>Luiz</w:t>
      </w:r>
      <w:proofErr w:type="spellEnd"/>
      <w:r>
        <w:t xml:space="preserve"> Paulo </w:t>
      </w:r>
      <w:proofErr w:type="spellStart"/>
      <w:r>
        <w:t>Alegrussi</w:t>
      </w:r>
      <w:proofErr w:type="spellEnd"/>
      <w:r>
        <w:t xml:space="preserve"> hasta la conclusión del proceso de falencia de </w:t>
      </w:r>
      <w:proofErr w:type="spellStart"/>
      <w:r>
        <w:t>Pluna</w:t>
      </w:r>
      <w:proofErr w:type="spellEnd"/>
      <w:r>
        <w:t xml:space="preserve"> en Brasil;</w:t>
      </w:r>
    </w:p>
    <w:p w:rsidR="009D6495" w:rsidRDefault="00C54138" w:rsidP="00ED2CF4">
      <w:pPr>
        <w:spacing w:line="360" w:lineRule="auto"/>
        <w:ind w:firstLine="2694"/>
        <w:jc w:val="both"/>
        <w:rPr>
          <w:lang w:val="es-MX"/>
        </w:rPr>
      </w:pPr>
      <w:r>
        <w:rPr>
          <w:b/>
          <w:lang w:val="es-MX"/>
        </w:rPr>
        <w:t xml:space="preserve">3) </w:t>
      </w:r>
      <w:r>
        <w:rPr>
          <w:lang w:val="es-MX"/>
        </w:rPr>
        <w:t>que con fecha 27</w:t>
      </w:r>
      <w:r w:rsidR="00EF128B">
        <w:rPr>
          <w:lang w:val="es-MX"/>
        </w:rPr>
        <w:t>/3/15</w:t>
      </w:r>
      <w:r>
        <w:rPr>
          <w:lang w:val="es-MX"/>
        </w:rPr>
        <w:t xml:space="preserve"> el Contador Delegado informa que</w:t>
      </w:r>
      <w:r w:rsidR="008F04CF">
        <w:rPr>
          <w:lang w:val="es-MX"/>
        </w:rPr>
        <w:t xml:space="preserve">: </w:t>
      </w:r>
    </w:p>
    <w:p w:rsidR="009D6495" w:rsidRDefault="008F04CF" w:rsidP="009D6495">
      <w:pPr>
        <w:spacing w:line="360" w:lineRule="auto"/>
        <w:jc w:val="both"/>
        <w:rPr>
          <w:lang w:val="es-MX"/>
        </w:rPr>
      </w:pPr>
      <w:r w:rsidRPr="008F04CF">
        <w:rPr>
          <w:b/>
          <w:lang w:val="es-MX"/>
        </w:rPr>
        <w:t>1)</w:t>
      </w:r>
      <w:r w:rsidR="00C54138">
        <w:rPr>
          <w:lang w:val="es-MX"/>
        </w:rPr>
        <w:t xml:space="preserve"> el gasto</w:t>
      </w:r>
      <w:r w:rsidR="00EF128B">
        <w:rPr>
          <w:lang w:val="es-MX"/>
        </w:rPr>
        <w:t xml:space="preserve"> se vien</w:t>
      </w:r>
      <w:r w:rsidR="004927D9">
        <w:rPr>
          <w:lang w:val="es-MX"/>
        </w:rPr>
        <w:t>e</w:t>
      </w:r>
      <w:r w:rsidR="00EF128B">
        <w:rPr>
          <w:lang w:val="es-MX"/>
        </w:rPr>
        <w:t xml:space="preserve"> ejecutando desde el </w:t>
      </w:r>
      <w:r w:rsidR="00493BFC">
        <w:rPr>
          <w:lang w:val="es-MX"/>
        </w:rPr>
        <w:t>E</w:t>
      </w:r>
      <w:r w:rsidR="00EF128B">
        <w:rPr>
          <w:lang w:val="es-MX"/>
        </w:rPr>
        <w:t xml:space="preserve">jercicio 2014 </w:t>
      </w:r>
      <w:r w:rsidR="004927D9">
        <w:rPr>
          <w:lang w:val="es-MX"/>
        </w:rPr>
        <w:t>omitiéndose</w:t>
      </w:r>
      <w:r w:rsidR="00EF128B">
        <w:rPr>
          <w:lang w:val="es-MX"/>
        </w:rPr>
        <w:t xml:space="preserve"> la remi</w:t>
      </w:r>
      <w:r w:rsidR="004927D9">
        <w:rPr>
          <w:lang w:val="es-MX"/>
        </w:rPr>
        <w:t>sió</w:t>
      </w:r>
      <w:r w:rsidR="00EF128B">
        <w:rPr>
          <w:lang w:val="es-MX"/>
        </w:rPr>
        <w:t xml:space="preserve">n a este Tribunal a los efectos de su intervención y </w:t>
      </w:r>
    </w:p>
    <w:p w:rsidR="00C54138" w:rsidRDefault="00EF128B" w:rsidP="009D6495">
      <w:pPr>
        <w:spacing w:line="360" w:lineRule="auto"/>
        <w:jc w:val="both"/>
        <w:rPr>
          <w:highlight w:val="yellow"/>
          <w:lang w:val="es-MX"/>
        </w:rPr>
      </w:pPr>
      <w:r w:rsidRPr="008F04CF">
        <w:rPr>
          <w:b/>
          <w:lang w:val="es-MX"/>
        </w:rPr>
        <w:t>2)</w:t>
      </w:r>
      <w:r>
        <w:rPr>
          <w:lang w:val="es-MX"/>
        </w:rPr>
        <w:t xml:space="preserve"> el mismo</w:t>
      </w:r>
      <w:r w:rsidR="00C54138">
        <w:rPr>
          <w:lang w:val="es-MX"/>
        </w:rPr>
        <w:t xml:space="preserve"> será imputado en el objeto 2/282 “Servicios  Profesionales y Técnicos”,  </w:t>
      </w:r>
      <w:r>
        <w:rPr>
          <w:lang w:val="es-MX"/>
        </w:rPr>
        <w:t>el cual</w:t>
      </w:r>
      <w:r w:rsidR="00C54138">
        <w:rPr>
          <w:lang w:val="es-MX"/>
        </w:rPr>
        <w:t xml:space="preserve"> no cuenta con disponibilidad suficiente;                              </w:t>
      </w:r>
    </w:p>
    <w:p w:rsidR="003F51AC" w:rsidRDefault="00C54138" w:rsidP="009D6495">
      <w:pPr>
        <w:tabs>
          <w:tab w:val="left" w:pos="1920"/>
        </w:tabs>
        <w:spacing w:line="360" w:lineRule="auto"/>
        <w:ind w:firstLine="851"/>
        <w:jc w:val="both"/>
      </w:pPr>
      <w:r>
        <w:rPr>
          <w:b/>
          <w:lang w:val="es-MX"/>
        </w:rPr>
        <w:t xml:space="preserve">CONSIDERANDO: </w:t>
      </w:r>
      <w:r w:rsidR="00797D85">
        <w:rPr>
          <w:b/>
          <w:bCs/>
          <w:lang w:val="es-MX"/>
        </w:rPr>
        <w:t>1</w:t>
      </w:r>
      <w:r w:rsidR="00797D85">
        <w:rPr>
          <w:b/>
          <w:bCs/>
        </w:rPr>
        <w:t>)</w:t>
      </w:r>
      <w:r w:rsidR="00797D85">
        <w:t xml:space="preserve"> </w:t>
      </w:r>
      <w:r w:rsidR="003F51AC">
        <w:t xml:space="preserve">que de conformidad con lo dispuesto por </w:t>
      </w:r>
      <w:r w:rsidR="00ED2CF4">
        <w:t>R</w:t>
      </w:r>
      <w:r w:rsidR="003F51AC">
        <w:t>esolución del Poder Ejecutivo de fecha 7</w:t>
      </w:r>
      <w:r w:rsidR="00383F7F">
        <w:t>/8/12</w:t>
      </w:r>
      <w:r w:rsidR="003F51AC">
        <w:t xml:space="preserve">, se autorizó a </w:t>
      </w:r>
      <w:proofErr w:type="spellStart"/>
      <w:r w:rsidR="003F51AC">
        <w:t>Pluna</w:t>
      </w:r>
      <w:proofErr w:type="spellEnd"/>
      <w:r w:rsidR="003F51AC">
        <w:t xml:space="preserve"> Ente Autónomo a disponer los actos necesarios y contrataciones de servicios profesionales para el cumplimiento de las obligaciones derivadas de la situación de insolvencia de </w:t>
      </w:r>
      <w:proofErr w:type="spellStart"/>
      <w:r w:rsidR="003F51AC">
        <w:t>Pluna</w:t>
      </w:r>
      <w:proofErr w:type="spellEnd"/>
      <w:r w:rsidR="003F51AC">
        <w:t xml:space="preserve"> S.A.;</w:t>
      </w:r>
    </w:p>
    <w:p w:rsidR="003F51AC" w:rsidRDefault="003F51AC" w:rsidP="009D6495">
      <w:pPr>
        <w:tabs>
          <w:tab w:val="left" w:pos="1920"/>
        </w:tabs>
        <w:spacing w:line="360" w:lineRule="auto"/>
        <w:ind w:firstLine="3119"/>
        <w:jc w:val="both"/>
      </w:pPr>
      <w:r>
        <w:rPr>
          <w:b/>
          <w:bCs/>
        </w:rPr>
        <w:t>2)</w:t>
      </w:r>
      <w:r>
        <w:t xml:space="preserve"> que el </w:t>
      </w:r>
      <w:r w:rsidR="009D6495">
        <w:t>A</w:t>
      </w:r>
      <w:r>
        <w:t xml:space="preserve">rtículo 748 de la </w:t>
      </w:r>
      <w:r w:rsidR="009D6495">
        <w:t>L</w:t>
      </w:r>
      <w:r>
        <w:t>ey Nº 16.736 de 5</w:t>
      </w:r>
      <w:r w:rsidR="00383F7F">
        <w:t>/1/</w:t>
      </w:r>
      <w:r>
        <w:t>96 establece que los miembros de directorios de sociedades anónimas que representen al Estado, a un Ente Autónomo o a un Servicio Descentralizado serán reputados funcionarios públicos, a los efectos de la responsabilidad civil o tributaria resultante del ejercicio de sus cargo</w:t>
      </w:r>
      <w:r w:rsidR="00383F7F">
        <w:t>s</w:t>
      </w:r>
      <w:r>
        <w:t xml:space="preserve">. Por su parte el Estado,  Ente Autónomo o Servicio Descentralizado que en su caso representen, será responsable frente a la sociedad anónima, a los accionistas y ante terceros, por las obligaciones que derivasen de la gestión o de los actos que sus representantes en el directorio de la sociedad anónima y éstos solamente responderán en caso de haber obrado con culpa grave o dolo; </w:t>
      </w:r>
    </w:p>
    <w:p w:rsidR="003F51AC" w:rsidRDefault="003F51AC" w:rsidP="009D6495">
      <w:pPr>
        <w:tabs>
          <w:tab w:val="left" w:pos="1920"/>
        </w:tabs>
        <w:spacing w:line="360" w:lineRule="auto"/>
        <w:ind w:firstLine="3119"/>
        <w:jc w:val="both"/>
      </w:pPr>
      <w:r w:rsidRPr="00B92836">
        <w:rPr>
          <w:b/>
        </w:rPr>
        <w:t>3)</w:t>
      </w:r>
      <w:r w:rsidR="00B92836">
        <w:rPr>
          <w:b/>
        </w:rPr>
        <w:t xml:space="preserve"> </w:t>
      </w:r>
      <w:r>
        <w:t xml:space="preserve">que el </w:t>
      </w:r>
      <w:r w:rsidR="00493BFC">
        <w:t>A</w:t>
      </w:r>
      <w:r>
        <w:t xml:space="preserve">rtículo 10 de la </w:t>
      </w:r>
      <w:r w:rsidR="00493BFC">
        <w:t>L</w:t>
      </w:r>
      <w:r>
        <w:t>ey 18.931 de 17</w:t>
      </w:r>
      <w:r w:rsidR="00383F7F">
        <w:t>/</w:t>
      </w:r>
      <w:r>
        <w:t>7</w:t>
      </w:r>
      <w:r w:rsidR="00383F7F">
        <w:t>/</w:t>
      </w:r>
      <w:r>
        <w:t xml:space="preserve">12 declaró comprendidos en la previsión del </w:t>
      </w:r>
      <w:r w:rsidR="00493BFC">
        <w:t>A</w:t>
      </w:r>
      <w:r>
        <w:t xml:space="preserve">rtículo 748 de la </w:t>
      </w:r>
      <w:r w:rsidR="00493BFC">
        <w:t>L</w:t>
      </w:r>
      <w:r>
        <w:t>ey Nº 16.736 de 5</w:t>
      </w:r>
      <w:r w:rsidR="00383F7F">
        <w:t>/</w:t>
      </w:r>
      <w:r>
        <w:t>1</w:t>
      </w:r>
      <w:r w:rsidR="00383F7F">
        <w:t>/</w:t>
      </w:r>
      <w:r>
        <w:t>96, a la totalidad de</w:t>
      </w:r>
      <w:r w:rsidR="00383F7F">
        <w:t xml:space="preserve"> los miembros del Directorio y C</w:t>
      </w:r>
      <w:r>
        <w:t xml:space="preserve">omisión Fiscal de </w:t>
      </w:r>
      <w:proofErr w:type="spellStart"/>
      <w:r>
        <w:t>Pluna</w:t>
      </w:r>
      <w:proofErr w:type="spellEnd"/>
      <w:r>
        <w:t xml:space="preserve"> S.A.;</w:t>
      </w:r>
    </w:p>
    <w:p w:rsidR="003F51AC" w:rsidRDefault="003F51AC" w:rsidP="009D6495">
      <w:pPr>
        <w:spacing w:line="360" w:lineRule="auto"/>
        <w:ind w:firstLine="3119"/>
        <w:jc w:val="both"/>
        <w:rPr>
          <w:lang w:val="es-MX"/>
        </w:rPr>
      </w:pPr>
      <w:r>
        <w:rPr>
          <w:b/>
          <w:lang w:val="es-MX"/>
        </w:rPr>
        <w:t xml:space="preserve">4) </w:t>
      </w:r>
      <w:r>
        <w:rPr>
          <w:lang w:val="es-MX"/>
        </w:rPr>
        <w:t xml:space="preserve">que en lo que refiere al aspecto </w:t>
      </w:r>
      <w:proofErr w:type="spellStart"/>
      <w:r>
        <w:rPr>
          <w:lang w:val="es-MX"/>
        </w:rPr>
        <w:t>procedimeintal</w:t>
      </w:r>
      <w:proofErr w:type="spellEnd"/>
      <w:r>
        <w:rPr>
          <w:lang w:val="es-MX"/>
        </w:rPr>
        <w:t xml:space="preserve">, de acuerdo con el </w:t>
      </w:r>
      <w:r w:rsidR="00493BFC">
        <w:rPr>
          <w:lang w:val="es-MX"/>
        </w:rPr>
        <w:t>A</w:t>
      </w:r>
      <w:r>
        <w:rPr>
          <w:lang w:val="es-MX"/>
        </w:rPr>
        <w:t xml:space="preserve">rtículo 33, </w:t>
      </w:r>
      <w:r w:rsidR="00493BFC">
        <w:rPr>
          <w:lang w:val="es-MX"/>
        </w:rPr>
        <w:t>L</w:t>
      </w:r>
      <w:r>
        <w:rPr>
          <w:lang w:val="es-MX"/>
        </w:rPr>
        <w:t>iteral C</w:t>
      </w:r>
      <w:r w:rsidR="00493BFC">
        <w:rPr>
          <w:lang w:val="es-MX"/>
        </w:rPr>
        <w:t>)</w:t>
      </w:r>
      <w:r>
        <w:rPr>
          <w:lang w:val="es-MX"/>
        </w:rPr>
        <w:t xml:space="preserve">, </w:t>
      </w:r>
      <w:r w:rsidR="00493BFC">
        <w:rPr>
          <w:lang w:val="es-MX"/>
        </w:rPr>
        <w:t>N</w:t>
      </w:r>
      <w:r>
        <w:rPr>
          <w:lang w:val="es-MX"/>
        </w:rPr>
        <w:t>umeral 22 del TOCAF, se podrá contratar directamente los bienes o servicios, cualquiera sea su modalidad, por parte de los Entes Autónomos y Servicios Descentralizados integrantes del dominio industrial, comercial y financiero del Estado, destinada a servicios que se encuentren de hecho o de derecho en regímenes de libre competencia;</w:t>
      </w:r>
    </w:p>
    <w:p w:rsidR="00797D85" w:rsidRDefault="003F51AC" w:rsidP="009D6495">
      <w:pPr>
        <w:spacing w:line="360" w:lineRule="auto"/>
        <w:ind w:firstLine="3119"/>
        <w:jc w:val="both"/>
        <w:rPr>
          <w:b/>
          <w:lang w:val="es-MX"/>
        </w:rPr>
      </w:pPr>
      <w:r>
        <w:rPr>
          <w:b/>
          <w:lang w:val="es-MX"/>
        </w:rPr>
        <w:t>5</w:t>
      </w:r>
      <w:r w:rsidR="00797D85">
        <w:rPr>
          <w:b/>
          <w:lang w:val="es-MX"/>
        </w:rPr>
        <w:t xml:space="preserve">) </w:t>
      </w:r>
      <w:r w:rsidR="00797D85">
        <w:rPr>
          <w:lang w:val="es-MX"/>
        </w:rPr>
        <w:t>que</w:t>
      </w:r>
      <w:r w:rsidR="00383F7F">
        <w:rPr>
          <w:lang w:val="es-MX"/>
        </w:rPr>
        <w:t xml:space="preserve"> no obstante ello,</w:t>
      </w:r>
      <w:r w:rsidR="00797D85">
        <w:rPr>
          <w:lang w:val="es-MX"/>
        </w:rPr>
        <w:t xml:space="preserve"> </w:t>
      </w:r>
      <w:r>
        <w:rPr>
          <w:lang w:val="es-MX"/>
        </w:rPr>
        <w:t>de las actuacion</w:t>
      </w:r>
      <w:r w:rsidR="00B92836">
        <w:rPr>
          <w:lang w:val="es-MX"/>
        </w:rPr>
        <w:t>e</w:t>
      </w:r>
      <w:r>
        <w:rPr>
          <w:lang w:val="es-MX"/>
        </w:rPr>
        <w:t>s remitidas no surge que la</w:t>
      </w:r>
      <w:r w:rsidR="00797D85">
        <w:rPr>
          <w:lang w:val="es-MX"/>
        </w:rPr>
        <w:t xml:space="preserve"> contratación </w:t>
      </w:r>
      <w:r>
        <w:t xml:space="preserve">Sr. </w:t>
      </w:r>
      <w:proofErr w:type="spellStart"/>
      <w:r>
        <w:t>Luiz</w:t>
      </w:r>
      <w:proofErr w:type="spellEnd"/>
      <w:r>
        <w:t xml:space="preserve"> Paulo </w:t>
      </w:r>
      <w:proofErr w:type="spellStart"/>
      <w:r>
        <w:t>Alegrussi</w:t>
      </w:r>
      <w:proofErr w:type="spellEnd"/>
      <w:r>
        <w:t xml:space="preserve"> tenga </w:t>
      </w:r>
      <w:r w:rsidR="00797D85">
        <w:rPr>
          <w:lang w:val="es-MX"/>
        </w:rPr>
        <w:t>un plazo determinado,</w:t>
      </w:r>
      <w:r>
        <w:rPr>
          <w:lang w:val="es-MX"/>
        </w:rPr>
        <w:t xml:space="preserve"> lo cual colide</w:t>
      </w:r>
      <w:r w:rsidR="00797D85">
        <w:rPr>
          <w:lang w:val="es-MX"/>
        </w:rPr>
        <w:t xml:space="preserve"> </w:t>
      </w:r>
      <w:r>
        <w:rPr>
          <w:lang w:val="es-MX"/>
        </w:rPr>
        <w:t>con el</w:t>
      </w:r>
      <w:r w:rsidR="00797D85">
        <w:rPr>
          <w:lang w:val="es-MX"/>
        </w:rPr>
        <w:t xml:space="preserve"> principio de buena administración;</w:t>
      </w:r>
      <w:r w:rsidR="00797D85">
        <w:rPr>
          <w:b/>
          <w:lang w:val="es-MX"/>
        </w:rPr>
        <w:t xml:space="preserve">   </w:t>
      </w:r>
    </w:p>
    <w:p w:rsidR="00C54138" w:rsidRDefault="003F51AC" w:rsidP="009D6495">
      <w:pPr>
        <w:spacing w:line="360" w:lineRule="auto"/>
        <w:ind w:firstLine="3119"/>
        <w:jc w:val="both"/>
        <w:rPr>
          <w:lang w:val="es-MX"/>
        </w:rPr>
      </w:pPr>
      <w:r>
        <w:rPr>
          <w:b/>
          <w:lang w:val="es-MX"/>
        </w:rPr>
        <w:t>6</w:t>
      </w:r>
      <w:r w:rsidR="00C54138">
        <w:rPr>
          <w:b/>
          <w:lang w:val="es-MX"/>
        </w:rPr>
        <w:t xml:space="preserve">) </w:t>
      </w:r>
      <w:r w:rsidR="00C54138">
        <w:rPr>
          <w:lang w:val="es-MX"/>
        </w:rPr>
        <w:t xml:space="preserve">que </w:t>
      </w:r>
      <w:r w:rsidR="00383F7F">
        <w:rPr>
          <w:lang w:val="es-MX"/>
        </w:rPr>
        <w:t xml:space="preserve"> por su parte,</w:t>
      </w:r>
      <w:r>
        <w:rPr>
          <w:lang w:val="es-MX"/>
        </w:rPr>
        <w:t xml:space="preserve"> con la contrat</w:t>
      </w:r>
      <w:r w:rsidR="00B92836">
        <w:rPr>
          <w:lang w:val="es-MX"/>
        </w:rPr>
        <w:t>a</w:t>
      </w:r>
      <w:r>
        <w:rPr>
          <w:lang w:val="es-MX"/>
        </w:rPr>
        <w:t>ci</w:t>
      </w:r>
      <w:r w:rsidR="00B92836">
        <w:rPr>
          <w:lang w:val="es-MX"/>
        </w:rPr>
        <w:t>ó</w:t>
      </w:r>
      <w:r>
        <w:rPr>
          <w:lang w:val="es-MX"/>
        </w:rPr>
        <w:t>n r</w:t>
      </w:r>
      <w:r w:rsidR="00B92836">
        <w:rPr>
          <w:lang w:val="es-MX"/>
        </w:rPr>
        <w:t>e</w:t>
      </w:r>
      <w:r>
        <w:rPr>
          <w:lang w:val="es-MX"/>
        </w:rPr>
        <w:t>ferida se ha</w:t>
      </w:r>
      <w:r w:rsidR="00C54138">
        <w:rPr>
          <w:lang w:val="es-MX"/>
        </w:rPr>
        <w:t xml:space="preserve"> contrav</w:t>
      </w:r>
      <w:r>
        <w:rPr>
          <w:lang w:val="es-MX"/>
        </w:rPr>
        <w:t>eni</w:t>
      </w:r>
      <w:r w:rsidR="00B92836">
        <w:rPr>
          <w:lang w:val="es-MX"/>
        </w:rPr>
        <w:t>d</w:t>
      </w:r>
      <w:r>
        <w:rPr>
          <w:lang w:val="es-MX"/>
        </w:rPr>
        <w:t xml:space="preserve">o </w:t>
      </w:r>
      <w:r w:rsidR="00C54138">
        <w:rPr>
          <w:lang w:val="es-MX"/>
        </w:rPr>
        <w:t xml:space="preserve">lo previsto por el </w:t>
      </w:r>
      <w:r w:rsidR="00493BFC">
        <w:rPr>
          <w:lang w:val="es-MX"/>
        </w:rPr>
        <w:t>A</w:t>
      </w:r>
      <w:r w:rsidR="00C54138">
        <w:rPr>
          <w:lang w:val="es-MX"/>
        </w:rPr>
        <w:t>rtículo 15 del TOCAF en tanto se ha comprometido un gasto sin que exista crédito disponible;</w:t>
      </w:r>
    </w:p>
    <w:p w:rsidR="008F04CF" w:rsidRDefault="003F51AC" w:rsidP="009D6495">
      <w:pPr>
        <w:spacing w:line="360" w:lineRule="auto"/>
        <w:ind w:firstLine="3119"/>
        <w:jc w:val="both"/>
        <w:rPr>
          <w:lang w:val="es-MX"/>
        </w:rPr>
      </w:pPr>
      <w:r>
        <w:rPr>
          <w:b/>
          <w:bCs/>
          <w:lang w:val="es-MX"/>
        </w:rPr>
        <w:t>7</w:t>
      </w:r>
      <w:r w:rsidR="00C54138">
        <w:rPr>
          <w:b/>
          <w:bCs/>
          <w:lang w:val="es-MX"/>
        </w:rPr>
        <w:t xml:space="preserve">) </w:t>
      </w:r>
      <w:r w:rsidR="00C54138">
        <w:rPr>
          <w:lang w:val="es-MX"/>
        </w:rPr>
        <w:t xml:space="preserve">que </w:t>
      </w:r>
      <w:r w:rsidR="00383F7F">
        <w:rPr>
          <w:lang w:val="es-MX"/>
        </w:rPr>
        <w:t>asimismo,</w:t>
      </w:r>
      <w:r>
        <w:rPr>
          <w:lang w:val="es-MX"/>
        </w:rPr>
        <w:t xml:space="preserve"> </w:t>
      </w:r>
      <w:r w:rsidR="00C54138">
        <w:rPr>
          <w:lang w:val="es-MX"/>
        </w:rPr>
        <w:t>no se</w:t>
      </w:r>
      <w:r>
        <w:rPr>
          <w:lang w:val="es-MX"/>
        </w:rPr>
        <w:t xml:space="preserve"> ha remitido</w:t>
      </w:r>
      <w:r w:rsidR="00C54138">
        <w:rPr>
          <w:lang w:val="es-MX"/>
        </w:rPr>
        <w:t xml:space="preserve"> el gasto a la intervención preventiva que constitucionalmente corresponde a este Tribunal de acuerdo con lo dispuesto por el  Literal B) del </w:t>
      </w:r>
      <w:r w:rsidR="00493BFC">
        <w:rPr>
          <w:lang w:val="es-MX"/>
        </w:rPr>
        <w:t>A</w:t>
      </w:r>
      <w:r w:rsidR="00C54138">
        <w:rPr>
          <w:lang w:val="es-MX"/>
        </w:rPr>
        <w:t xml:space="preserve">rtículo 211 de la Constitución, ya que las actuaciones ingresaron con posterioridad </w:t>
      </w:r>
      <w:r w:rsidR="008F04CF">
        <w:rPr>
          <w:lang w:val="es-MX"/>
        </w:rPr>
        <w:t>al comienzo de su ejecución;</w:t>
      </w:r>
    </w:p>
    <w:p w:rsidR="00B92836" w:rsidRDefault="00B92836" w:rsidP="009D6495">
      <w:pPr>
        <w:spacing w:line="360" w:lineRule="auto"/>
        <w:ind w:firstLine="3119"/>
        <w:jc w:val="both"/>
      </w:pPr>
      <w:r w:rsidRPr="00B92836">
        <w:rPr>
          <w:b/>
          <w:lang w:val="es-MX"/>
        </w:rPr>
        <w:t>8)</w:t>
      </w:r>
      <w:r>
        <w:rPr>
          <w:lang w:val="es-MX"/>
        </w:rPr>
        <w:t xml:space="preserve"> que finalmente</w:t>
      </w:r>
      <w:r w:rsidR="00383F7F">
        <w:rPr>
          <w:lang w:val="es-MX"/>
        </w:rPr>
        <w:t>,</w:t>
      </w:r>
      <w:r>
        <w:rPr>
          <w:lang w:val="es-MX"/>
        </w:rPr>
        <w:t xml:space="preserve"> debe señalarse que no consta</w:t>
      </w:r>
      <w:r w:rsidR="00383F7F">
        <w:rPr>
          <w:lang w:val="es-MX"/>
        </w:rPr>
        <w:t>n los</w:t>
      </w:r>
      <w:r>
        <w:rPr>
          <w:lang w:val="es-MX"/>
        </w:rPr>
        <w:t xml:space="preserve"> antecedentes correspondientes a la contratación del </w:t>
      </w:r>
      <w:r>
        <w:t>Estudio Motta, Fernández Rocha-</w:t>
      </w:r>
      <w:proofErr w:type="spellStart"/>
      <w:r>
        <w:t>Advogados</w:t>
      </w:r>
      <w:proofErr w:type="spellEnd"/>
      <w:r>
        <w:t xml:space="preserve"> y a la intervención del gasto emergente de la misma por parte de este Tribunal o de su Contador Delegado, razón por la cual deberá</w:t>
      </w:r>
      <w:r w:rsidR="00383F7F">
        <w:t>n</w:t>
      </w:r>
      <w:r>
        <w:t xml:space="preserve">  remitirse</w:t>
      </w:r>
      <w:r w:rsidR="00383F7F">
        <w:t xml:space="preserve"> los mismos</w:t>
      </w:r>
      <w:r>
        <w:t xml:space="preserve"> oportunamente a este Tribunal;</w:t>
      </w:r>
    </w:p>
    <w:p w:rsidR="00C54138" w:rsidRDefault="00C54138" w:rsidP="009D6495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>ATENTO:</w:t>
      </w:r>
      <w:r>
        <w:rPr>
          <w:lang w:val="es-MX"/>
        </w:rPr>
        <w:t xml:space="preserve"> a lo precedentemente expuesto;</w:t>
      </w:r>
    </w:p>
    <w:p w:rsidR="00493BFC" w:rsidRDefault="00493BFC" w:rsidP="00C54138">
      <w:pPr>
        <w:pStyle w:val="Ttulo1"/>
      </w:pPr>
    </w:p>
    <w:p w:rsidR="00493BFC" w:rsidRDefault="00493BFC" w:rsidP="00C54138">
      <w:pPr>
        <w:pStyle w:val="Ttulo1"/>
      </w:pPr>
    </w:p>
    <w:p w:rsidR="00C54138" w:rsidRDefault="00C54138" w:rsidP="00C54138">
      <w:pPr>
        <w:pStyle w:val="Ttulo1"/>
      </w:pPr>
      <w:bookmarkStart w:id="0" w:name="_GoBack"/>
      <w:bookmarkEnd w:id="0"/>
      <w:r>
        <w:t>EL TRIBUNAL ACUERDA</w:t>
      </w:r>
    </w:p>
    <w:p w:rsidR="00C54138" w:rsidRPr="009D6495" w:rsidRDefault="009D6495" w:rsidP="009D6495">
      <w:pPr>
        <w:spacing w:line="360" w:lineRule="auto"/>
        <w:jc w:val="both"/>
        <w:rPr>
          <w:lang w:val="es-MX"/>
        </w:rPr>
      </w:pPr>
      <w:r w:rsidRPr="009D6495">
        <w:rPr>
          <w:b/>
          <w:lang w:val="es-MX"/>
        </w:rPr>
        <w:t>1)</w:t>
      </w:r>
      <w:r>
        <w:rPr>
          <w:lang w:val="es-MX"/>
        </w:rPr>
        <w:t xml:space="preserve"> </w:t>
      </w:r>
      <w:r w:rsidR="00C54138" w:rsidRPr="009D6495">
        <w:rPr>
          <w:lang w:val="es-MX"/>
        </w:rPr>
        <w:t>Observar el gasto</w:t>
      </w:r>
      <w:r w:rsidR="00B92836" w:rsidRPr="009D6495">
        <w:rPr>
          <w:lang w:val="es-MX"/>
        </w:rPr>
        <w:t xml:space="preserve"> por lo expresado en los Considerandos 5) a 7)</w:t>
      </w:r>
      <w:r w:rsidR="00C54138" w:rsidRPr="009D6495">
        <w:rPr>
          <w:lang w:val="es-MX"/>
        </w:rPr>
        <w:t>;</w:t>
      </w:r>
    </w:p>
    <w:p w:rsidR="00B92836" w:rsidRPr="009D6495" w:rsidRDefault="009D6495" w:rsidP="009D6495">
      <w:pPr>
        <w:spacing w:line="360" w:lineRule="auto"/>
        <w:jc w:val="both"/>
        <w:rPr>
          <w:lang w:val="es-MX"/>
        </w:rPr>
      </w:pPr>
      <w:r w:rsidRPr="009D6495">
        <w:rPr>
          <w:b/>
          <w:lang w:val="es-MX"/>
        </w:rPr>
        <w:t>2)</w:t>
      </w:r>
      <w:r>
        <w:rPr>
          <w:lang w:val="es-MX"/>
        </w:rPr>
        <w:t xml:space="preserve"> </w:t>
      </w:r>
      <w:r w:rsidR="00B92836" w:rsidRPr="009D6495">
        <w:rPr>
          <w:lang w:val="es-MX"/>
        </w:rPr>
        <w:t>Téngase presente lo señalado en Considerando 8);</w:t>
      </w:r>
    </w:p>
    <w:p w:rsidR="00C54138" w:rsidRDefault="009D6495" w:rsidP="009D6495">
      <w:pPr>
        <w:spacing w:line="360" w:lineRule="auto"/>
        <w:jc w:val="both"/>
        <w:rPr>
          <w:lang w:val="es-MX"/>
        </w:rPr>
      </w:pPr>
      <w:r w:rsidRPr="009D6495">
        <w:rPr>
          <w:b/>
          <w:lang w:val="es-MX"/>
        </w:rPr>
        <w:t>3)</w:t>
      </w:r>
      <w:r>
        <w:rPr>
          <w:lang w:val="es-MX"/>
        </w:rPr>
        <w:t xml:space="preserve"> </w:t>
      </w:r>
      <w:r w:rsidR="00C54138">
        <w:rPr>
          <w:lang w:val="es-MX"/>
        </w:rPr>
        <w:t>Devolver los antecedentes.</w:t>
      </w:r>
    </w:p>
    <w:p w:rsidR="00C54138" w:rsidRDefault="00C54138" w:rsidP="00C54138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</w:t>
      </w:r>
      <w:r w:rsidR="009D6495">
        <w:rPr>
          <w:lang w:val="es-MX"/>
        </w:rPr>
        <w:t xml:space="preserve">                             </w:t>
      </w:r>
    </w:p>
    <w:p w:rsidR="009D6495" w:rsidRDefault="009D6495" w:rsidP="00C54138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ag</w:t>
      </w:r>
      <w:proofErr w:type="spellEnd"/>
      <w:proofErr w:type="gramEnd"/>
    </w:p>
    <w:sectPr w:rsidR="009D6495" w:rsidSect="00F97FB7">
      <w:pgSz w:w="11906" w:h="16838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470C"/>
    <w:multiLevelType w:val="hybridMultilevel"/>
    <w:tmpl w:val="D72647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3D7D2C95"/>
    <w:multiLevelType w:val="hybridMultilevel"/>
    <w:tmpl w:val="34AC05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D2"/>
    <w:rsid w:val="00383F7F"/>
    <w:rsid w:val="003F51AC"/>
    <w:rsid w:val="004638E1"/>
    <w:rsid w:val="004927D9"/>
    <w:rsid w:val="00493BFC"/>
    <w:rsid w:val="004B21B3"/>
    <w:rsid w:val="007960D2"/>
    <w:rsid w:val="00797D85"/>
    <w:rsid w:val="008F04CF"/>
    <w:rsid w:val="009A2342"/>
    <w:rsid w:val="009C3226"/>
    <w:rsid w:val="009D2E22"/>
    <w:rsid w:val="009D6495"/>
    <w:rsid w:val="00B72249"/>
    <w:rsid w:val="00B73E0D"/>
    <w:rsid w:val="00B92836"/>
    <w:rsid w:val="00C0338D"/>
    <w:rsid w:val="00C54138"/>
    <w:rsid w:val="00D60FD2"/>
    <w:rsid w:val="00ED2CF4"/>
    <w:rsid w:val="00EF128B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D2"/>
    <w:pPr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60FD2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D60FD2"/>
    <w:pPr>
      <w:keepNext/>
      <w:spacing w:line="360" w:lineRule="auto"/>
      <w:ind w:firstLine="70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60FD2"/>
    <w:rPr>
      <w:rFonts w:ascii="Arial" w:eastAsiaTheme="minorEastAsia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D60FD2"/>
    <w:rPr>
      <w:rFonts w:ascii="Arial" w:eastAsiaTheme="minorEastAsia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D60FD2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60FD2"/>
    <w:rPr>
      <w:rFonts w:ascii="Arial" w:eastAsiaTheme="minorEastAsia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D60FD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60FD2"/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92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D2"/>
    <w:pPr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60FD2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D60FD2"/>
    <w:pPr>
      <w:keepNext/>
      <w:spacing w:line="360" w:lineRule="auto"/>
      <w:ind w:firstLine="70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60FD2"/>
    <w:rPr>
      <w:rFonts w:ascii="Arial" w:eastAsiaTheme="minorEastAsia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D60FD2"/>
    <w:rPr>
      <w:rFonts w:ascii="Arial" w:eastAsiaTheme="minorEastAsia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D60FD2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60FD2"/>
    <w:rPr>
      <w:rFonts w:ascii="Arial" w:eastAsiaTheme="minorEastAsia" w:hAnsi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D60FD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60FD2"/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9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Lenovo User</cp:lastModifiedBy>
  <cp:revision>7</cp:revision>
  <cp:lastPrinted>2015-05-07T16:20:00Z</cp:lastPrinted>
  <dcterms:created xsi:type="dcterms:W3CDTF">2015-05-07T16:05:00Z</dcterms:created>
  <dcterms:modified xsi:type="dcterms:W3CDTF">2015-05-07T16:20:00Z</dcterms:modified>
</cp:coreProperties>
</file>