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996" w:rsidRDefault="00F33996" w:rsidP="001F0646">
      <w:pPr>
        <w:spacing w:before="120" w:after="120" w:line="360" w:lineRule="auto"/>
        <w:rPr>
          <w:rFonts w:ascii="Arial" w:hAnsi="Arial" w:cs="Arial"/>
          <w:b/>
          <w:sz w:val="24"/>
          <w:szCs w:val="24"/>
        </w:rPr>
      </w:pPr>
    </w:p>
    <w:p w:rsidR="009D5E97" w:rsidRPr="009D5E97" w:rsidRDefault="009D5E97" w:rsidP="009D5E97">
      <w:pPr>
        <w:tabs>
          <w:tab w:val="center" w:pos="4253"/>
        </w:tabs>
        <w:suppressAutoHyphens/>
        <w:spacing w:after="0" w:line="240" w:lineRule="auto"/>
        <w:jc w:val="center"/>
        <w:rPr>
          <w:rFonts w:ascii="Helvetica" w:hAnsi="Helvetica"/>
          <w:b/>
          <w:sz w:val="24"/>
          <w:szCs w:val="24"/>
          <w:lang w:val="es-ES_tradnl"/>
        </w:rPr>
      </w:pPr>
      <w:r w:rsidRPr="009D5E97">
        <w:rPr>
          <w:rFonts w:ascii="Helvetica" w:hAnsi="Helvetica"/>
          <w:b/>
          <w:sz w:val="24"/>
          <w:szCs w:val="24"/>
          <w:lang w:val="es-ES_tradnl"/>
        </w:rPr>
        <w:t>RESOLUCION ADOPTADA POR EL</w:t>
      </w:r>
    </w:p>
    <w:p w:rsidR="009D5E97" w:rsidRPr="009D5E97" w:rsidRDefault="009D5E97" w:rsidP="009D5E97">
      <w:pPr>
        <w:tabs>
          <w:tab w:val="left" w:pos="-720"/>
        </w:tabs>
        <w:suppressAutoHyphens/>
        <w:spacing w:after="0" w:line="240" w:lineRule="auto"/>
        <w:jc w:val="center"/>
        <w:rPr>
          <w:rFonts w:ascii="Helvetica" w:hAnsi="Helvetica"/>
          <w:b/>
          <w:sz w:val="24"/>
          <w:szCs w:val="24"/>
          <w:lang w:val="es-ES_tradnl"/>
        </w:rPr>
      </w:pPr>
    </w:p>
    <w:p w:rsidR="009D5E97" w:rsidRPr="009D5E97" w:rsidRDefault="009D5E97" w:rsidP="009D5E97">
      <w:pPr>
        <w:tabs>
          <w:tab w:val="center" w:pos="4253"/>
        </w:tabs>
        <w:suppressAutoHyphens/>
        <w:spacing w:after="0" w:line="240" w:lineRule="auto"/>
        <w:jc w:val="center"/>
        <w:rPr>
          <w:rFonts w:ascii="Helvetica" w:hAnsi="Helvetica"/>
          <w:b/>
          <w:sz w:val="24"/>
          <w:szCs w:val="24"/>
          <w:lang w:val="es-ES_tradnl"/>
        </w:rPr>
      </w:pPr>
      <w:r w:rsidRPr="009D5E97">
        <w:rPr>
          <w:rFonts w:ascii="Helvetica" w:hAnsi="Helvetica"/>
          <w:b/>
          <w:sz w:val="24"/>
          <w:szCs w:val="24"/>
          <w:lang w:val="es-ES_tradnl"/>
        </w:rPr>
        <w:t>TRIBUNAL DE CUENTAS</w:t>
      </w:r>
    </w:p>
    <w:p w:rsidR="009D5E97" w:rsidRPr="009D5E97" w:rsidRDefault="009D5E97" w:rsidP="009D5E97">
      <w:pPr>
        <w:tabs>
          <w:tab w:val="left" w:pos="-720"/>
        </w:tabs>
        <w:suppressAutoHyphens/>
        <w:spacing w:after="0" w:line="240" w:lineRule="auto"/>
        <w:jc w:val="center"/>
        <w:rPr>
          <w:rFonts w:ascii="Helvetica" w:hAnsi="Helvetica"/>
          <w:b/>
          <w:sz w:val="24"/>
          <w:szCs w:val="24"/>
          <w:lang w:val="es-ES_tradnl"/>
        </w:rPr>
      </w:pPr>
    </w:p>
    <w:p w:rsidR="009D5E97" w:rsidRPr="009D5E97" w:rsidRDefault="009D5E97" w:rsidP="009D5E97">
      <w:pPr>
        <w:tabs>
          <w:tab w:val="center" w:pos="4253"/>
        </w:tabs>
        <w:suppressAutoHyphens/>
        <w:spacing w:after="0" w:line="240" w:lineRule="auto"/>
        <w:jc w:val="center"/>
        <w:rPr>
          <w:rFonts w:ascii="Helvetica" w:hAnsi="Helvetica"/>
          <w:b/>
          <w:sz w:val="24"/>
          <w:szCs w:val="24"/>
          <w:lang w:val="es-ES_tradnl"/>
        </w:rPr>
      </w:pPr>
      <w:r w:rsidRPr="009D5E97">
        <w:rPr>
          <w:rFonts w:ascii="Helvetica" w:hAnsi="Helvetica"/>
          <w:b/>
          <w:sz w:val="24"/>
          <w:szCs w:val="24"/>
          <w:lang w:val="es-ES_tradnl"/>
        </w:rPr>
        <w:t>EN SESION DE FECHA 6 DE MAYO DE 2015</w:t>
      </w:r>
    </w:p>
    <w:p w:rsidR="009D5E97" w:rsidRPr="009D5E97" w:rsidRDefault="009D5E97" w:rsidP="009D5E97">
      <w:pPr>
        <w:tabs>
          <w:tab w:val="center" w:pos="4253"/>
        </w:tabs>
        <w:suppressAutoHyphens/>
        <w:spacing w:after="0" w:line="240" w:lineRule="auto"/>
        <w:jc w:val="center"/>
        <w:rPr>
          <w:rFonts w:ascii="Helvetica" w:hAnsi="Helvetica"/>
          <w:b/>
          <w:sz w:val="24"/>
          <w:szCs w:val="24"/>
          <w:lang w:val="es-ES_tradnl"/>
        </w:rPr>
      </w:pPr>
    </w:p>
    <w:p w:rsidR="009D5E97" w:rsidRPr="009D5E97" w:rsidRDefault="009D5E97" w:rsidP="009D5E97">
      <w:pPr>
        <w:tabs>
          <w:tab w:val="center" w:pos="4253"/>
        </w:tabs>
        <w:suppressAutoHyphens/>
        <w:spacing w:after="0" w:line="240" w:lineRule="auto"/>
        <w:jc w:val="center"/>
        <w:rPr>
          <w:rFonts w:ascii="Helvetica" w:hAnsi="Helvetica"/>
          <w:b/>
          <w:sz w:val="24"/>
          <w:szCs w:val="24"/>
          <w:lang w:val="es-AR"/>
        </w:rPr>
      </w:pPr>
      <w:r w:rsidRPr="009D5E97">
        <w:rPr>
          <w:rFonts w:ascii="Helvetica" w:hAnsi="Helvetica"/>
          <w:b/>
          <w:sz w:val="24"/>
          <w:szCs w:val="24"/>
          <w:lang w:val="es-AR"/>
        </w:rPr>
        <w:t xml:space="preserve">(E. E. Nº 2014-17-1-0008229, </w:t>
      </w:r>
      <w:proofErr w:type="spellStart"/>
      <w:r w:rsidRPr="009D5E97">
        <w:rPr>
          <w:rFonts w:ascii="Helvetica" w:hAnsi="Helvetica"/>
          <w:b/>
          <w:sz w:val="24"/>
          <w:szCs w:val="24"/>
          <w:lang w:val="es-AR"/>
        </w:rPr>
        <w:t>Ent</w:t>
      </w:r>
      <w:proofErr w:type="spellEnd"/>
      <w:r w:rsidRPr="009D5E97">
        <w:rPr>
          <w:rFonts w:ascii="Helvetica" w:hAnsi="Helvetica"/>
          <w:b/>
          <w:sz w:val="24"/>
          <w:szCs w:val="24"/>
          <w:lang w:val="es-AR"/>
        </w:rPr>
        <w:t>. N° 1635/15)</w:t>
      </w:r>
    </w:p>
    <w:p w:rsidR="009D5E97" w:rsidRDefault="009D5E97">
      <w:pPr>
        <w:tabs>
          <w:tab w:val="center" w:pos="4253"/>
        </w:tabs>
        <w:suppressAutoHyphens/>
        <w:jc w:val="center"/>
        <w:rPr>
          <w:rFonts w:ascii="Arial" w:hAnsi="Arial"/>
          <w:spacing w:val="-3"/>
          <w:lang w:val="es-AR"/>
        </w:rPr>
      </w:pPr>
    </w:p>
    <w:p w:rsidR="009D5E97" w:rsidRPr="009D5E97" w:rsidRDefault="009D5E97">
      <w:pPr>
        <w:tabs>
          <w:tab w:val="center" w:pos="4253"/>
        </w:tabs>
        <w:suppressAutoHyphens/>
        <w:jc w:val="center"/>
        <w:rPr>
          <w:rFonts w:ascii="Arial" w:hAnsi="Arial"/>
          <w:spacing w:val="-3"/>
          <w:lang w:val="es-AR"/>
        </w:rPr>
      </w:pPr>
    </w:p>
    <w:p w:rsidR="009D5E97" w:rsidRDefault="001F0646" w:rsidP="009D5E97">
      <w:pPr>
        <w:spacing w:after="0" w:line="360" w:lineRule="auto"/>
        <w:ind w:firstLine="851"/>
        <w:jc w:val="both"/>
        <w:rPr>
          <w:rFonts w:ascii="Arial" w:hAnsi="Arial" w:cs="Arial"/>
          <w:sz w:val="24"/>
          <w:szCs w:val="24"/>
          <w:lang w:val="es-ES"/>
        </w:rPr>
      </w:pPr>
      <w:r>
        <w:rPr>
          <w:rFonts w:ascii="Arial" w:hAnsi="Arial" w:cs="Arial"/>
          <w:b/>
          <w:sz w:val="24"/>
          <w:szCs w:val="24"/>
        </w:rPr>
        <w:t xml:space="preserve">VISTO: </w:t>
      </w:r>
      <w:r w:rsidR="00865894" w:rsidRPr="00865894">
        <w:rPr>
          <w:rFonts w:ascii="Arial" w:hAnsi="Arial" w:cs="Arial"/>
          <w:sz w:val="24"/>
          <w:szCs w:val="24"/>
          <w:lang w:val="es-ES"/>
        </w:rPr>
        <w:t xml:space="preserve">las actuaciones remitidas por </w:t>
      </w:r>
      <w:r w:rsidR="00D625AC">
        <w:rPr>
          <w:rFonts w:ascii="Arial" w:hAnsi="Arial" w:cs="Arial"/>
          <w:sz w:val="24"/>
          <w:szCs w:val="24"/>
          <w:lang w:val="es-ES"/>
        </w:rPr>
        <w:t>la Administración de los Servicios de Salud del Estado (</w:t>
      </w:r>
      <w:r w:rsidR="00865894" w:rsidRPr="00865894">
        <w:rPr>
          <w:rFonts w:ascii="Arial" w:hAnsi="Arial" w:cs="Arial"/>
          <w:sz w:val="24"/>
          <w:szCs w:val="24"/>
          <w:lang w:val="es-ES"/>
        </w:rPr>
        <w:t>ASSE</w:t>
      </w:r>
      <w:r w:rsidR="00D625AC">
        <w:rPr>
          <w:rFonts w:ascii="Arial" w:hAnsi="Arial" w:cs="Arial"/>
          <w:sz w:val="24"/>
          <w:szCs w:val="24"/>
          <w:lang w:val="es-ES"/>
        </w:rPr>
        <w:t>)</w:t>
      </w:r>
      <w:r w:rsidR="009D5E97">
        <w:rPr>
          <w:rFonts w:ascii="Arial" w:hAnsi="Arial" w:cs="Arial"/>
          <w:sz w:val="24"/>
          <w:szCs w:val="24"/>
          <w:lang w:val="es-ES"/>
        </w:rPr>
        <w:t xml:space="preserve"> solicitando que este Tribunal</w:t>
      </w:r>
      <w:r w:rsidR="00865894" w:rsidRPr="00865894">
        <w:rPr>
          <w:rFonts w:ascii="Arial" w:hAnsi="Arial" w:cs="Arial"/>
          <w:sz w:val="24"/>
          <w:szCs w:val="24"/>
          <w:lang w:val="es-ES"/>
        </w:rPr>
        <w:t xml:space="preserve"> se expida en forma definitiva respecto a la legitimidad de la acumulación de empleos de los Prac</w:t>
      </w:r>
      <w:r w:rsidR="00865894">
        <w:rPr>
          <w:rFonts w:ascii="Arial" w:hAnsi="Arial" w:cs="Arial"/>
          <w:sz w:val="24"/>
          <w:szCs w:val="24"/>
          <w:lang w:val="es-ES"/>
        </w:rPr>
        <w:t>ticantes Internos de Enfermería;</w:t>
      </w:r>
    </w:p>
    <w:p w:rsidR="00865894" w:rsidRDefault="00B708CF" w:rsidP="009D5E97">
      <w:pPr>
        <w:spacing w:after="0" w:line="360" w:lineRule="auto"/>
        <w:ind w:firstLine="851"/>
        <w:jc w:val="both"/>
        <w:rPr>
          <w:rFonts w:ascii="Arial" w:hAnsi="Arial" w:cs="Arial"/>
          <w:sz w:val="24"/>
          <w:szCs w:val="24"/>
          <w:lang w:val="es-ES"/>
        </w:rPr>
      </w:pPr>
      <w:r>
        <w:rPr>
          <w:rFonts w:ascii="Arial" w:hAnsi="Arial" w:cs="Arial"/>
          <w:b/>
          <w:sz w:val="24"/>
          <w:szCs w:val="24"/>
        </w:rPr>
        <w:t xml:space="preserve">RESULTANDO: </w:t>
      </w:r>
      <w:r w:rsidR="00865894">
        <w:rPr>
          <w:rFonts w:ascii="Arial" w:hAnsi="Arial" w:cs="Arial"/>
          <w:sz w:val="24"/>
          <w:szCs w:val="24"/>
          <w:lang w:val="es-ES"/>
        </w:rPr>
        <w:t>q</w:t>
      </w:r>
      <w:r w:rsidR="00865894" w:rsidRPr="00865894">
        <w:rPr>
          <w:rFonts w:ascii="Arial" w:hAnsi="Arial" w:cs="Arial"/>
          <w:sz w:val="24"/>
          <w:szCs w:val="24"/>
          <w:lang w:val="es-ES"/>
        </w:rPr>
        <w:t>ue este Tribunal en Sesión de fecha 28 de enero de 2015, se expidió respecto de la consulta formulada por ASSE</w:t>
      </w:r>
      <w:r w:rsidR="00865894">
        <w:rPr>
          <w:rFonts w:ascii="Arial" w:hAnsi="Arial" w:cs="Arial"/>
          <w:sz w:val="24"/>
          <w:szCs w:val="24"/>
          <w:lang w:val="es-ES"/>
        </w:rPr>
        <w:t xml:space="preserve"> </w:t>
      </w:r>
      <w:r w:rsidR="00D625AC">
        <w:rPr>
          <w:rFonts w:ascii="Arial" w:hAnsi="Arial" w:cs="Arial"/>
          <w:sz w:val="24"/>
          <w:szCs w:val="24"/>
          <w:lang w:val="es-ES"/>
        </w:rPr>
        <w:t>con relación a</w:t>
      </w:r>
      <w:r w:rsidR="00865894">
        <w:rPr>
          <w:rFonts w:ascii="Arial" w:hAnsi="Arial" w:cs="Arial"/>
          <w:sz w:val="24"/>
          <w:szCs w:val="24"/>
          <w:lang w:val="es-ES"/>
        </w:rPr>
        <w:t xml:space="preserve"> la </w:t>
      </w:r>
      <w:r w:rsidR="00865894" w:rsidRPr="00865894">
        <w:rPr>
          <w:rFonts w:ascii="Arial" w:hAnsi="Arial" w:cs="Arial"/>
          <w:sz w:val="24"/>
          <w:szCs w:val="24"/>
          <w:lang w:val="es-ES"/>
        </w:rPr>
        <w:t>acumulación de empleos de los Pract</w:t>
      </w:r>
      <w:r w:rsidR="00865894">
        <w:rPr>
          <w:rFonts w:ascii="Arial" w:hAnsi="Arial" w:cs="Arial"/>
          <w:sz w:val="24"/>
          <w:szCs w:val="24"/>
          <w:lang w:val="es-ES"/>
        </w:rPr>
        <w:t>icantes Internos de Enfermería</w:t>
      </w:r>
      <w:r w:rsidR="00865894" w:rsidRPr="00865894">
        <w:rPr>
          <w:rFonts w:ascii="Arial" w:hAnsi="Arial" w:cs="Arial"/>
          <w:sz w:val="24"/>
          <w:szCs w:val="24"/>
          <w:lang w:val="es-ES"/>
        </w:rPr>
        <w:t xml:space="preserve">, conforme lo </w:t>
      </w:r>
      <w:r w:rsidR="009D5E97">
        <w:rPr>
          <w:rFonts w:ascii="Arial" w:hAnsi="Arial" w:cs="Arial"/>
          <w:sz w:val="24"/>
          <w:szCs w:val="24"/>
          <w:lang w:val="es-ES"/>
        </w:rPr>
        <w:t>establece el Artículo</w:t>
      </w:r>
      <w:r w:rsidR="00865894">
        <w:rPr>
          <w:rFonts w:ascii="Arial" w:hAnsi="Arial" w:cs="Arial"/>
          <w:sz w:val="24"/>
          <w:szCs w:val="24"/>
          <w:lang w:val="es-ES"/>
        </w:rPr>
        <w:t xml:space="preserve"> 112 del TOCAF;</w:t>
      </w:r>
    </w:p>
    <w:p w:rsidR="009D5E97" w:rsidRDefault="00544412" w:rsidP="009D5E97">
      <w:pPr>
        <w:spacing w:after="0" w:line="360" w:lineRule="auto"/>
        <w:ind w:firstLine="851"/>
        <w:jc w:val="both"/>
        <w:rPr>
          <w:rFonts w:ascii="Arial" w:hAnsi="Arial" w:cs="Arial"/>
          <w:sz w:val="24"/>
          <w:szCs w:val="24"/>
          <w:lang w:val="es-ES"/>
        </w:rPr>
      </w:pPr>
      <w:r w:rsidRPr="00544412">
        <w:rPr>
          <w:rFonts w:ascii="Arial" w:hAnsi="Arial" w:cs="Arial"/>
          <w:b/>
          <w:sz w:val="24"/>
          <w:szCs w:val="24"/>
        </w:rPr>
        <w:t>CONSIDERANDO</w:t>
      </w:r>
      <w:r>
        <w:rPr>
          <w:rFonts w:ascii="Arial" w:hAnsi="Arial" w:cs="Arial"/>
          <w:b/>
          <w:sz w:val="24"/>
          <w:szCs w:val="24"/>
        </w:rPr>
        <w:t xml:space="preserve">: </w:t>
      </w:r>
      <w:r w:rsidR="00B708CF">
        <w:rPr>
          <w:rFonts w:ascii="Arial" w:hAnsi="Arial" w:cs="Arial"/>
          <w:b/>
          <w:sz w:val="24"/>
          <w:szCs w:val="24"/>
        </w:rPr>
        <w:t xml:space="preserve">1) </w:t>
      </w:r>
      <w:r w:rsidR="00D625AC">
        <w:rPr>
          <w:rFonts w:ascii="Arial" w:hAnsi="Arial" w:cs="Arial"/>
          <w:sz w:val="24"/>
          <w:szCs w:val="24"/>
        </w:rPr>
        <w:t xml:space="preserve">que </w:t>
      </w:r>
      <w:r w:rsidR="00D625AC" w:rsidRPr="00D625AC">
        <w:rPr>
          <w:rFonts w:ascii="Arial" w:hAnsi="Arial" w:cs="Arial"/>
          <w:sz w:val="24"/>
          <w:szCs w:val="24"/>
          <w:lang w:val="es-MX"/>
        </w:rPr>
        <w:t xml:space="preserve">conforme lo dispone el </w:t>
      </w:r>
      <w:r w:rsidR="009D5E97">
        <w:rPr>
          <w:rFonts w:ascii="Arial" w:hAnsi="Arial" w:cs="Arial"/>
          <w:sz w:val="24"/>
          <w:szCs w:val="24"/>
          <w:lang w:val="es-MX"/>
        </w:rPr>
        <w:t>A</w:t>
      </w:r>
      <w:r w:rsidR="00D625AC" w:rsidRPr="00D625AC">
        <w:rPr>
          <w:rFonts w:ascii="Arial" w:hAnsi="Arial" w:cs="Arial"/>
          <w:sz w:val="24"/>
          <w:szCs w:val="24"/>
          <w:lang w:val="es-MX"/>
        </w:rPr>
        <w:t xml:space="preserve">rtículo 112 del TOCAF, el efecto de la consulta </w:t>
      </w:r>
      <w:r w:rsidR="00B708CF">
        <w:rPr>
          <w:rFonts w:ascii="Arial" w:hAnsi="Arial" w:cs="Arial"/>
          <w:sz w:val="24"/>
          <w:szCs w:val="24"/>
          <w:lang w:val="es-MX"/>
        </w:rPr>
        <w:t>que realizó</w:t>
      </w:r>
      <w:r w:rsidR="00D625AC">
        <w:rPr>
          <w:rFonts w:ascii="Arial" w:hAnsi="Arial" w:cs="Arial"/>
          <w:sz w:val="24"/>
          <w:szCs w:val="24"/>
          <w:lang w:val="es-MX"/>
        </w:rPr>
        <w:t xml:space="preserve"> ASSE </w:t>
      </w:r>
      <w:r w:rsidR="00D625AC" w:rsidRPr="00D625AC">
        <w:rPr>
          <w:rFonts w:ascii="Arial" w:hAnsi="Arial" w:cs="Arial"/>
          <w:sz w:val="24"/>
          <w:szCs w:val="24"/>
          <w:lang w:val="es-MX"/>
        </w:rPr>
        <w:t>es vinculante en el caso concreto, señalándose que el pronunciamiento que se emite no compromete la opinión de este Tribunal, salvo en lo que refiere al punto específico que se consulta, ni altera ni menoscaba los efectos del contralor externo atribuido al Tribunal de Cuentas por las normas constitucionales y legales (Considerando 3 y Acuerdo 1 de la Resolución de fecha 30 de junio de 2004</w:t>
      </w:r>
      <w:r w:rsidR="009D5E97">
        <w:rPr>
          <w:rFonts w:ascii="Arial" w:hAnsi="Arial" w:cs="Arial"/>
          <w:sz w:val="24"/>
          <w:szCs w:val="24"/>
          <w:lang w:val="es-MX"/>
        </w:rPr>
        <w:t>)</w:t>
      </w:r>
      <w:r w:rsidR="00D625AC">
        <w:rPr>
          <w:rFonts w:ascii="Arial" w:hAnsi="Arial" w:cs="Arial"/>
          <w:sz w:val="24"/>
          <w:szCs w:val="24"/>
          <w:lang w:val="es-MX"/>
        </w:rPr>
        <w:t>;</w:t>
      </w:r>
    </w:p>
    <w:p w:rsidR="001158A5" w:rsidRPr="00D625AC" w:rsidRDefault="001158A5" w:rsidP="009D5E97">
      <w:pPr>
        <w:spacing w:after="0" w:line="360" w:lineRule="auto"/>
        <w:ind w:firstLine="3119"/>
        <w:jc w:val="both"/>
        <w:rPr>
          <w:rFonts w:ascii="Arial" w:hAnsi="Arial" w:cs="Arial"/>
          <w:sz w:val="24"/>
          <w:szCs w:val="24"/>
          <w:lang w:val="es-ES"/>
        </w:rPr>
      </w:pPr>
      <w:r w:rsidRPr="001158A5">
        <w:rPr>
          <w:rFonts w:ascii="Arial" w:hAnsi="Arial" w:cs="Arial"/>
          <w:b/>
          <w:sz w:val="24"/>
          <w:szCs w:val="24"/>
          <w:lang w:val="es-ES"/>
        </w:rPr>
        <w:t>2)</w:t>
      </w:r>
      <w:r>
        <w:rPr>
          <w:rFonts w:ascii="Arial" w:hAnsi="Arial" w:cs="Arial"/>
          <w:sz w:val="24"/>
          <w:szCs w:val="24"/>
          <w:lang w:val="es-ES"/>
        </w:rPr>
        <w:t xml:space="preserve"> </w:t>
      </w:r>
      <w:r w:rsidRPr="00D625AC">
        <w:rPr>
          <w:rFonts w:ascii="Arial" w:hAnsi="Arial" w:cs="Arial"/>
          <w:sz w:val="24"/>
          <w:szCs w:val="24"/>
          <w:lang w:val="es-ES"/>
        </w:rPr>
        <w:t xml:space="preserve">que en </w:t>
      </w:r>
      <w:r>
        <w:rPr>
          <w:rFonts w:ascii="Arial" w:hAnsi="Arial" w:cs="Arial"/>
          <w:sz w:val="24"/>
          <w:szCs w:val="24"/>
          <w:lang w:val="es-ES"/>
        </w:rPr>
        <w:t>la Resolución de 28 de febrero de 2015</w:t>
      </w:r>
      <w:r w:rsidRPr="00D625AC">
        <w:rPr>
          <w:rFonts w:ascii="Arial" w:hAnsi="Arial" w:cs="Arial"/>
          <w:sz w:val="24"/>
          <w:szCs w:val="24"/>
          <w:lang w:val="es-ES"/>
        </w:rPr>
        <w:t xml:space="preserve">, se hizo caudal de la situación planteada, </w:t>
      </w:r>
      <w:r>
        <w:rPr>
          <w:rFonts w:ascii="Arial" w:hAnsi="Arial" w:cs="Arial"/>
          <w:sz w:val="24"/>
          <w:szCs w:val="24"/>
          <w:lang w:val="es-ES"/>
        </w:rPr>
        <w:t xml:space="preserve">por lo que no corresponde un nuevo pronunciamiento, </w:t>
      </w:r>
      <w:proofErr w:type="gramStart"/>
      <w:r w:rsidRPr="00D625AC">
        <w:rPr>
          <w:rFonts w:ascii="Arial" w:hAnsi="Arial" w:cs="Arial"/>
          <w:sz w:val="24"/>
          <w:szCs w:val="24"/>
          <w:lang w:val="es-ES"/>
        </w:rPr>
        <w:t>debiendo</w:t>
      </w:r>
      <w:proofErr w:type="gramEnd"/>
      <w:r w:rsidRPr="00D625AC">
        <w:rPr>
          <w:rFonts w:ascii="Arial" w:hAnsi="Arial" w:cs="Arial"/>
          <w:sz w:val="24"/>
          <w:szCs w:val="24"/>
          <w:lang w:val="es-ES"/>
        </w:rPr>
        <w:t xml:space="preserve"> remitirse a lo señalado en los Considerandos 2) a 7) de la </w:t>
      </w:r>
      <w:r>
        <w:rPr>
          <w:rFonts w:ascii="Arial" w:hAnsi="Arial" w:cs="Arial"/>
          <w:sz w:val="24"/>
          <w:szCs w:val="24"/>
          <w:lang w:val="es-ES"/>
        </w:rPr>
        <w:t>misma;</w:t>
      </w:r>
    </w:p>
    <w:p w:rsidR="00F93730" w:rsidRPr="00F93730" w:rsidRDefault="00F93730" w:rsidP="009D5E97">
      <w:pPr>
        <w:spacing w:after="0" w:line="360" w:lineRule="auto"/>
        <w:ind w:firstLine="851"/>
        <w:jc w:val="both"/>
        <w:rPr>
          <w:rFonts w:ascii="Arial" w:eastAsia="Times New Roman" w:hAnsi="Arial" w:cs="Arial"/>
          <w:sz w:val="24"/>
          <w:szCs w:val="24"/>
          <w:lang w:val="es-MX" w:eastAsia="es-ES"/>
        </w:rPr>
      </w:pPr>
      <w:r w:rsidRPr="00F93730">
        <w:rPr>
          <w:rFonts w:ascii="Arial" w:eastAsia="Times New Roman" w:hAnsi="Arial" w:cs="Arial"/>
          <w:b/>
          <w:sz w:val="24"/>
          <w:szCs w:val="24"/>
          <w:lang w:val="es-MX" w:eastAsia="es-ES"/>
        </w:rPr>
        <w:t xml:space="preserve">ATENTO: </w:t>
      </w:r>
      <w:r w:rsidRPr="00F93730">
        <w:rPr>
          <w:rFonts w:ascii="Arial" w:eastAsia="Times New Roman" w:hAnsi="Arial" w:cs="Arial"/>
          <w:sz w:val="24"/>
          <w:szCs w:val="24"/>
          <w:lang w:val="es-MX" w:eastAsia="es-ES"/>
        </w:rPr>
        <w:t>a lo precedentemente expuesto;</w:t>
      </w:r>
    </w:p>
    <w:p w:rsidR="009D5E97" w:rsidRDefault="009D5E97" w:rsidP="005D6D8A">
      <w:pPr>
        <w:spacing w:after="0" w:line="360" w:lineRule="auto"/>
        <w:jc w:val="center"/>
        <w:rPr>
          <w:rFonts w:ascii="Arial" w:eastAsia="Times New Roman" w:hAnsi="Arial" w:cs="Arial"/>
          <w:b/>
          <w:sz w:val="24"/>
          <w:szCs w:val="24"/>
          <w:lang w:val="es-MX" w:eastAsia="es-ES"/>
        </w:rPr>
      </w:pPr>
    </w:p>
    <w:p w:rsidR="00F93730" w:rsidRPr="00F93730" w:rsidRDefault="00F93730" w:rsidP="005D6D8A">
      <w:pPr>
        <w:spacing w:after="0" w:line="360" w:lineRule="auto"/>
        <w:jc w:val="center"/>
        <w:rPr>
          <w:rFonts w:ascii="Arial" w:eastAsia="Times New Roman" w:hAnsi="Arial" w:cs="Arial"/>
          <w:b/>
          <w:sz w:val="24"/>
          <w:szCs w:val="24"/>
          <w:lang w:val="es-MX" w:eastAsia="es-ES"/>
        </w:rPr>
      </w:pPr>
      <w:r w:rsidRPr="00F93730">
        <w:rPr>
          <w:rFonts w:ascii="Arial" w:eastAsia="Times New Roman" w:hAnsi="Arial" w:cs="Arial"/>
          <w:b/>
          <w:sz w:val="24"/>
          <w:szCs w:val="24"/>
          <w:lang w:val="es-MX" w:eastAsia="es-ES"/>
        </w:rPr>
        <w:lastRenderedPageBreak/>
        <w:t>EL TRIBUNAL ACUERDA</w:t>
      </w:r>
    </w:p>
    <w:p w:rsidR="00D625AC" w:rsidRPr="00D625AC" w:rsidRDefault="00B47BA0" w:rsidP="00D625AC">
      <w:pPr>
        <w:numPr>
          <w:ilvl w:val="0"/>
          <w:numId w:val="1"/>
        </w:numPr>
        <w:spacing w:after="0" w:line="360" w:lineRule="auto"/>
        <w:jc w:val="both"/>
        <w:rPr>
          <w:rFonts w:ascii="Arial" w:eastAsia="Times New Roman" w:hAnsi="Arial" w:cs="Arial"/>
          <w:sz w:val="24"/>
          <w:szCs w:val="24"/>
          <w:lang w:val="es-ES" w:eastAsia="es-ES"/>
        </w:rPr>
      </w:pPr>
      <w:r>
        <w:rPr>
          <w:rFonts w:ascii="Arial" w:eastAsia="Times New Roman" w:hAnsi="Arial" w:cs="Arial"/>
          <w:sz w:val="24"/>
          <w:szCs w:val="24"/>
          <w:lang w:val="es-MX" w:eastAsia="es-ES"/>
        </w:rPr>
        <w:t xml:space="preserve">No acceder a lo solicitado y señalar </w:t>
      </w:r>
      <w:r w:rsidR="00D625AC" w:rsidRPr="00D625AC">
        <w:rPr>
          <w:rFonts w:ascii="Arial" w:eastAsia="Times New Roman" w:hAnsi="Arial" w:cs="Arial"/>
          <w:sz w:val="24"/>
          <w:szCs w:val="24"/>
          <w:lang w:val="es-ES" w:eastAsia="es-ES"/>
        </w:rPr>
        <w:t>que cada caso concreto deberá ser analizado a la luz de los extremos que emergen de la opinión v</w:t>
      </w:r>
      <w:r w:rsidR="009D5E97">
        <w:rPr>
          <w:rFonts w:ascii="Arial" w:eastAsia="Times New Roman" w:hAnsi="Arial" w:cs="Arial"/>
          <w:sz w:val="24"/>
          <w:szCs w:val="24"/>
          <w:lang w:val="es-ES" w:eastAsia="es-ES"/>
        </w:rPr>
        <w:t>inculante emitida oportunamente;</w:t>
      </w:r>
    </w:p>
    <w:p w:rsidR="00F93730" w:rsidRDefault="00F93730" w:rsidP="005D6D8A">
      <w:pPr>
        <w:numPr>
          <w:ilvl w:val="0"/>
          <w:numId w:val="1"/>
        </w:numPr>
        <w:spacing w:after="0" w:line="360" w:lineRule="auto"/>
        <w:jc w:val="both"/>
        <w:rPr>
          <w:rFonts w:ascii="Arial" w:eastAsia="Times New Roman" w:hAnsi="Arial" w:cs="Arial"/>
          <w:sz w:val="24"/>
          <w:szCs w:val="24"/>
          <w:lang w:val="es-ES" w:eastAsia="es-ES"/>
        </w:rPr>
      </w:pPr>
      <w:r w:rsidRPr="00F93730">
        <w:rPr>
          <w:rFonts w:ascii="Arial" w:eastAsia="Times New Roman" w:hAnsi="Arial" w:cs="Arial"/>
          <w:sz w:val="24"/>
          <w:szCs w:val="24"/>
          <w:lang w:val="es-ES" w:eastAsia="es-ES"/>
        </w:rPr>
        <w:t>Devolver los antecedentes.</w:t>
      </w:r>
    </w:p>
    <w:p w:rsidR="009D5E97" w:rsidRDefault="009D5E97" w:rsidP="009D5E97">
      <w:pPr>
        <w:spacing w:after="0" w:line="360" w:lineRule="auto"/>
        <w:jc w:val="both"/>
        <w:rPr>
          <w:rFonts w:ascii="Arial" w:eastAsia="Times New Roman" w:hAnsi="Arial" w:cs="Arial"/>
          <w:sz w:val="24"/>
          <w:szCs w:val="24"/>
          <w:lang w:val="es-ES" w:eastAsia="es-ES"/>
        </w:rPr>
      </w:pPr>
    </w:p>
    <w:p w:rsidR="009D5E97" w:rsidRDefault="009D5E97" w:rsidP="009D5E97">
      <w:pPr>
        <w:spacing w:after="0" w:line="360" w:lineRule="auto"/>
        <w:jc w:val="both"/>
        <w:rPr>
          <w:rFonts w:ascii="Arial" w:eastAsia="Times New Roman" w:hAnsi="Arial" w:cs="Arial"/>
          <w:sz w:val="24"/>
          <w:szCs w:val="24"/>
          <w:lang w:val="es-ES" w:eastAsia="es-ES"/>
        </w:rPr>
      </w:pPr>
    </w:p>
    <w:p w:rsidR="009D5E97" w:rsidRDefault="009D5E97" w:rsidP="009D5E97">
      <w:pPr>
        <w:spacing w:after="0" w:line="360" w:lineRule="auto"/>
        <w:jc w:val="both"/>
        <w:rPr>
          <w:rFonts w:ascii="Arial" w:eastAsia="Times New Roman" w:hAnsi="Arial" w:cs="Arial"/>
          <w:sz w:val="24"/>
          <w:szCs w:val="24"/>
          <w:lang w:val="es-ES" w:eastAsia="es-ES"/>
        </w:rPr>
      </w:pPr>
    </w:p>
    <w:p w:rsidR="009D5E97" w:rsidRDefault="009D5E97" w:rsidP="009D5E97">
      <w:pPr>
        <w:spacing w:after="0" w:line="360" w:lineRule="auto"/>
        <w:jc w:val="both"/>
        <w:rPr>
          <w:rFonts w:ascii="Arial" w:eastAsia="Times New Roman" w:hAnsi="Arial" w:cs="Arial"/>
          <w:sz w:val="24"/>
          <w:szCs w:val="24"/>
          <w:lang w:val="es-ES" w:eastAsia="es-ES"/>
        </w:rPr>
      </w:pPr>
      <w:bookmarkStart w:id="0" w:name="_GoBack"/>
      <w:bookmarkEnd w:id="0"/>
    </w:p>
    <w:p w:rsidR="00F33996" w:rsidRPr="00F33996" w:rsidRDefault="009D5E97" w:rsidP="009D5E97">
      <w:pPr>
        <w:spacing w:after="0" w:line="360" w:lineRule="auto"/>
        <w:ind w:hanging="567"/>
        <w:jc w:val="both"/>
        <w:rPr>
          <w:rFonts w:ascii="Arial" w:hAnsi="Arial" w:cs="Arial"/>
          <w:b/>
          <w:i/>
          <w:sz w:val="16"/>
          <w:szCs w:val="16"/>
        </w:rPr>
      </w:pPr>
      <w:proofErr w:type="gramStart"/>
      <w:r>
        <w:rPr>
          <w:rFonts w:ascii="Arial" w:eastAsia="Times New Roman" w:hAnsi="Arial" w:cs="Arial"/>
          <w:sz w:val="24"/>
          <w:szCs w:val="24"/>
          <w:lang w:val="es-ES" w:eastAsia="es-ES"/>
        </w:rPr>
        <w:t>dc</w:t>
      </w:r>
      <w:proofErr w:type="gramEnd"/>
    </w:p>
    <w:sectPr w:rsidR="00F33996" w:rsidRPr="00F33996" w:rsidSect="009D5E97">
      <w:pgSz w:w="11906" w:h="16838" w:code="9"/>
      <w:pgMar w:top="3119" w:right="1701" w:bottom="141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260DEA"/>
    <w:multiLevelType w:val="hybridMultilevel"/>
    <w:tmpl w:val="029A3E0E"/>
    <w:lvl w:ilvl="0" w:tplc="BCE0717C">
      <w:start w:val="1"/>
      <w:numFmt w:val="decimal"/>
      <w:lvlText w:val="%1)"/>
      <w:lvlJc w:val="left"/>
      <w:pPr>
        <w:tabs>
          <w:tab w:val="num" w:pos="644"/>
        </w:tabs>
        <w:ind w:left="644" w:hanging="360"/>
      </w:pPr>
      <w:rPr>
        <w:b/>
      </w:rPr>
    </w:lvl>
    <w:lvl w:ilvl="1" w:tplc="0C0A0019">
      <w:start w:val="1"/>
      <w:numFmt w:val="lowerLetter"/>
      <w:lvlText w:val="%2."/>
      <w:lvlJc w:val="left"/>
      <w:pPr>
        <w:tabs>
          <w:tab w:val="num" w:pos="1364"/>
        </w:tabs>
        <w:ind w:left="1364" w:hanging="360"/>
      </w:pPr>
    </w:lvl>
    <w:lvl w:ilvl="2" w:tplc="0C0A001B">
      <w:start w:val="1"/>
      <w:numFmt w:val="lowerRoman"/>
      <w:lvlText w:val="%3."/>
      <w:lvlJc w:val="right"/>
      <w:pPr>
        <w:tabs>
          <w:tab w:val="num" w:pos="2084"/>
        </w:tabs>
        <w:ind w:left="2084" w:hanging="180"/>
      </w:pPr>
    </w:lvl>
    <w:lvl w:ilvl="3" w:tplc="0C0A000F">
      <w:start w:val="1"/>
      <w:numFmt w:val="decimal"/>
      <w:lvlText w:val="%4."/>
      <w:lvlJc w:val="left"/>
      <w:pPr>
        <w:tabs>
          <w:tab w:val="num" w:pos="2804"/>
        </w:tabs>
        <w:ind w:left="2804" w:hanging="360"/>
      </w:pPr>
    </w:lvl>
    <w:lvl w:ilvl="4" w:tplc="0C0A0019">
      <w:start w:val="1"/>
      <w:numFmt w:val="lowerLetter"/>
      <w:lvlText w:val="%5."/>
      <w:lvlJc w:val="left"/>
      <w:pPr>
        <w:tabs>
          <w:tab w:val="num" w:pos="3524"/>
        </w:tabs>
        <w:ind w:left="3524" w:hanging="360"/>
      </w:pPr>
    </w:lvl>
    <w:lvl w:ilvl="5" w:tplc="0C0A001B">
      <w:start w:val="1"/>
      <w:numFmt w:val="lowerRoman"/>
      <w:lvlText w:val="%6."/>
      <w:lvlJc w:val="right"/>
      <w:pPr>
        <w:tabs>
          <w:tab w:val="num" w:pos="4244"/>
        </w:tabs>
        <w:ind w:left="4244" w:hanging="180"/>
      </w:pPr>
    </w:lvl>
    <w:lvl w:ilvl="6" w:tplc="0C0A000F">
      <w:start w:val="1"/>
      <w:numFmt w:val="decimal"/>
      <w:lvlText w:val="%7."/>
      <w:lvlJc w:val="left"/>
      <w:pPr>
        <w:tabs>
          <w:tab w:val="num" w:pos="4964"/>
        </w:tabs>
        <w:ind w:left="4964" w:hanging="360"/>
      </w:pPr>
    </w:lvl>
    <w:lvl w:ilvl="7" w:tplc="0C0A0019">
      <w:start w:val="1"/>
      <w:numFmt w:val="lowerLetter"/>
      <w:lvlText w:val="%8."/>
      <w:lvlJc w:val="left"/>
      <w:pPr>
        <w:tabs>
          <w:tab w:val="num" w:pos="5684"/>
        </w:tabs>
        <w:ind w:left="5684" w:hanging="360"/>
      </w:pPr>
    </w:lvl>
    <w:lvl w:ilvl="8" w:tplc="0C0A001B">
      <w:start w:val="1"/>
      <w:numFmt w:val="lowerRoman"/>
      <w:lvlText w:val="%9."/>
      <w:lvlJc w:val="right"/>
      <w:pPr>
        <w:tabs>
          <w:tab w:val="num" w:pos="6404"/>
        </w:tabs>
        <w:ind w:left="640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646"/>
    <w:rsid w:val="0003506E"/>
    <w:rsid w:val="001158A5"/>
    <w:rsid w:val="001909E2"/>
    <w:rsid w:val="001B0BBF"/>
    <w:rsid w:val="001F0646"/>
    <w:rsid w:val="00331F44"/>
    <w:rsid w:val="00544412"/>
    <w:rsid w:val="005D6D8A"/>
    <w:rsid w:val="00865894"/>
    <w:rsid w:val="008E0C84"/>
    <w:rsid w:val="009D5E97"/>
    <w:rsid w:val="00B47BA0"/>
    <w:rsid w:val="00B708CF"/>
    <w:rsid w:val="00D625AC"/>
    <w:rsid w:val="00D82AC6"/>
    <w:rsid w:val="00D96FBC"/>
    <w:rsid w:val="00DD5D3E"/>
    <w:rsid w:val="00E732EC"/>
    <w:rsid w:val="00F33996"/>
    <w:rsid w:val="00F93730"/>
    <w:rsid w:val="00FB560A"/>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330511">
      <w:bodyDiv w:val="1"/>
      <w:marLeft w:val="0"/>
      <w:marRight w:val="0"/>
      <w:marTop w:val="0"/>
      <w:marBottom w:val="0"/>
      <w:divBdr>
        <w:top w:val="none" w:sz="0" w:space="0" w:color="auto"/>
        <w:left w:val="none" w:sz="0" w:space="0" w:color="auto"/>
        <w:bottom w:val="none" w:sz="0" w:space="0" w:color="auto"/>
        <w:right w:val="none" w:sz="0" w:space="0" w:color="auto"/>
      </w:divBdr>
    </w:div>
    <w:div w:id="761531675">
      <w:bodyDiv w:val="1"/>
      <w:marLeft w:val="0"/>
      <w:marRight w:val="0"/>
      <w:marTop w:val="0"/>
      <w:marBottom w:val="0"/>
      <w:divBdr>
        <w:top w:val="none" w:sz="0" w:space="0" w:color="auto"/>
        <w:left w:val="none" w:sz="0" w:space="0" w:color="auto"/>
        <w:bottom w:val="none" w:sz="0" w:space="0" w:color="auto"/>
        <w:right w:val="none" w:sz="0" w:space="0" w:color="auto"/>
      </w:divBdr>
      <w:divsChild>
        <w:div w:id="991837800">
          <w:marLeft w:val="0"/>
          <w:marRight w:val="0"/>
          <w:marTop w:val="0"/>
          <w:marBottom w:val="0"/>
          <w:divBdr>
            <w:top w:val="none" w:sz="0" w:space="0" w:color="auto"/>
            <w:left w:val="none" w:sz="0" w:space="0" w:color="auto"/>
            <w:bottom w:val="none" w:sz="0" w:space="0" w:color="auto"/>
            <w:right w:val="none" w:sz="0" w:space="0" w:color="auto"/>
          </w:divBdr>
        </w:div>
        <w:div w:id="12146603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251</Words>
  <Characters>1385</Characters>
  <Application>Microsoft Office Word</Application>
  <DocSecurity>4</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Farinha</dc:creator>
  <cp:lastModifiedBy>Tribunal1</cp:lastModifiedBy>
  <cp:revision>2</cp:revision>
  <cp:lastPrinted>2015-05-07T21:05:00Z</cp:lastPrinted>
  <dcterms:created xsi:type="dcterms:W3CDTF">2015-05-07T21:06:00Z</dcterms:created>
  <dcterms:modified xsi:type="dcterms:W3CDTF">2015-05-07T21:06:00Z</dcterms:modified>
</cp:coreProperties>
</file>