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DC9" w:rsidRDefault="006E0DC9">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6E0DC9" w:rsidRDefault="006E0DC9">
      <w:pPr>
        <w:tabs>
          <w:tab w:val="left" w:pos="-720"/>
        </w:tabs>
        <w:suppressAutoHyphens/>
        <w:jc w:val="center"/>
        <w:rPr>
          <w:rFonts w:ascii="Helvetica" w:hAnsi="Helvetica"/>
          <w:b/>
          <w:lang w:val="es-ES_tradnl"/>
        </w:rPr>
      </w:pPr>
    </w:p>
    <w:p w:rsidR="006E0DC9" w:rsidRDefault="006E0DC9">
      <w:pPr>
        <w:tabs>
          <w:tab w:val="center" w:pos="4253"/>
        </w:tabs>
        <w:suppressAutoHyphens/>
        <w:jc w:val="center"/>
        <w:rPr>
          <w:rFonts w:ascii="Helvetica" w:hAnsi="Helvetica"/>
          <w:b/>
          <w:lang w:val="es-ES_tradnl"/>
        </w:rPr>
      </w:pPr>
      <w:r>
        <w:rPr>
          <w:rFonts w:ascii="Helvetica" w:hAnsi="Helvetica"/>
          <w:b/>
          <w:lang w:val="es-ES_tradnl"/>
        </w:rPr>
        <w:t>TRIBUNAL DE CUENTAS</w:t>
      </w:r>
    </w:p>
    <w:p w:rsidR="006E0DC9" w:rsidRDefault="006E0DC9">
      <w:pPr>
        <w:tabs>
          <w:tab w:val="left" w:pos="-720"/>
        </w:tabs>
        <w:suppressAutoHyphens/>
        <w:jc w:val="center"/>
        <w:rPr>
          <w:rFonts w:ascii="Helvetica" w:hAnsi="Helvetica"/>
          <w:b/>
          <w:lang w:val="es-ES_tradnl"/>
        </w:rPr>
      </w:pPr>
    </w:p>
    <w:p w:rsidR="006E0DC9" w:rsidRDefault="006E0DC9">
      <w:pPr>
        <w:tabs>
          <w:tab w:val="center" w:pos="4253"/>
        </w:tabs>
        <w:suppressAutoHyphens/>
        <w:jc w:val="center"/>
        <w:rPr>
          <w:rFonts w:ascii="Helvetica" w:hAnsi="Helvetica"/>
          <w:b/>
          <w:lang w:val="es-ES_tradnl"/>
        </w:rPr>
      </w:pPr>
      <w:r>
        <w:rPr>
          <w:rFonts w:ascii="Helvetica" w:hAnsi="Helvetica"/>
          <w:b/>
          <w:lang w:val="es-ES_tradnl"/>
        </w:rPr>
        <w:t>EN SESION DE FECHA 6 DE MAYO DE 2015</w:t>
      </w:r>
    </w:p>
    <w:p w:rsidR="006E0DC9" w:rsidRDefault="006E0DC9">
      <w:pPr>
        <w:tabs>
          <w:tab w:val="center" w:pos="4253"/>
        </w:tabs>
        <w:suppressAutoHyphens/>
        <w:jc w:val="center"/>
        <w:rPr>
          <w:rFonts w:ascii="Helvetica" w:hAnsi="Helvetica"/>
          <w:b/>
          <w:lang w:val="es-ES_tradnl"/>
        </w:rPr>
      </w:pPr>
    </w:p>
    <w:p w:rsidR="00E90828" w:rsidRPr="00125FD1" w:rsidRDefault="006E0DC9" w:rsidP="006E0DC9">
      <w:pPr>
        <w:tabs>
          <w:tab w:val="center" w:pos="4253"/>
        </w:tabs>
        <w:suppressAutoHyphens/>
        <w:jc w:val="center"/>
        <w:rPr>
          <w:rFonts w:ascii="Helvetica" w:hAnsi="Helvetica"/>
          <w:b/>
          <w:lang w:val="es-UY"/>
        </w:rPr>
      </w:pPr>
      <w:r w:rsidRPr="00125FD1">
        <w:rPr>
          <w:rFonts w:ascii="Helvetica" w:hAnsi="Helvetica"/>
          <w:b/>
          <w:lang w:val="es-UY"/>
        </w:rPr>
        <w:t>(E. E. Nº 2013-17-1-0005159, Ent. N° 293/15)</w:t>
      </w:r>
    </w:p>
    <w:p w:rsidR="006E0DC9" w:rsidRPr="00125FD1" w:rsidRDefault="006E0DC9" w:rsidP="006E0DC9">
      <w:pPr>
        <w:tabs>
          <w:tab w:val="center" w:pos="4253"/>
        </w:tabs>
        <w:suppressAutoHyphens/>
        <w:jc w:val="center"/>
        <w:rPr>
          <w:rFonts w:ascii="Helvetica" w:hAnsi="Helvetica"/>
          <w:b/>
          <w:lang w:val="es-UY"/>
        </w:rPr>
      </w:pPr>
    </w:p>
    <w:p w:rsidR="006E0DC9" w:rsidRPr="00125FD1" w:rsidRDefault="006E0DC9" w:rsidP="006E0DC9">
      <w:pPr>
        <w:tabs>
          <w:tab w:val="center" w:pos="4253"/>
        </w:tabs>
        <w:suppressAutoHyphens/>
        <w:jc w:val="center"/>
        <w:rPr>
          <w:rFonts w:ascii="Helvetica" w:hAnsi="Helvetica"/>
          <w:b/>
          <w:lang w:val="es-UY"/>
        </w:rPr>
      </w:pPr>
    </w:p>
    <w:p w:rsidR="00E90828" w:rsidRDefault="00E90828" w:rsidP="006E0DC9">
      <w:pPr>
        <w:spacing w:line="360" w:lineRule="auto"/>
        <w:ind w:firstLine="851"/>
        <w:jc w:val="both"/>
        <w:rPr>
          <w:rFonts w:cs="Arial"/>
          <w:b/>
          <w:lang w:val="es-MX"/>
        </w:rPr>
      </w:pPr>
      <w:r>
        <w:rPr>
          <w:rFonts w:cs="Arial"/>
          <w:b/>
          <w:bCs/>
        </w:rPr>
        <w:t xml:space="preserve">VISTO: </w:t>
      </w:r>
      <w:r>
        <w:rPr>
          <w:rFonts w:cs="Arial"/>
        </w:rPr>
        <w:t xml:space="preserve">las actuaciones remitidas por la Administración de las Obras Sanitarias del Estado relacionadas con la </w:t>
      </w:r>
      <w:r>
        <w:rPr>
          <w:rFonts w:cs="Arial"/>
          <w:lang w:val="es-MX"/>
        </w:rPr>
        <w:t xml:space="preserve">Licitación Abreviada </w:t>
      </w:r>
      <w:r>
        <w:rPr>
          <w:rFonts w:cs="Arial"/>
          <w:bCs/>
          <w:lang w:val="es-MX"/>
        </w:rPr>
        <w:t>Nº 13.720 para la contratación de personal para tareas de carga y descarga de mater</w:t>
      </w:r>
      <w:r w:rsidR="008B5DAD">
        <w:rPr>
          <w:rFonts w:cs="Arial"/>
          <w:bCs/>
          <w:lang w:val="es-MX"/>
        </w:rPr>
        <w:t>iales (peones);</w:t>
      </w:r>
    </w:p>
    <w:p w:rsidR="00E90828" w:rsidRDefault="00E90828" w:rsidP="006E0DC9">
      <w:pPr>
        <w:spacing w:line="360" w:lineRule="auto"/>
        <w:ind w:firstLine="851"/>
        <w:jc w:val="both"/>
        <w:rPr>
          <w:rFonts w:cs="Arial"/>
          <w:bCs/>
          <w:lang w:val="es-MX"/>
        </w:rPr>
      </w:pPr>
      <w:r>
        <w:rPr>
          <w:b/>
        </w:rPr>
        <w:t>RESULTANDO: 1)</w:t>
      </w:r>
      <w:r>
        <w:t xml:space="preserve"> que cumplido el requisito de publicidad con la antelación requerida por la normativa</w:t>
      </w:r>
      <w:r>
        <w:rPr>
          <w:lang w:val="es-MX"/>
        </w:rPr>
        <w:t xml:space="preserve">, al acto de apertura celebrado el </w:t>
      </w:r>
      <w:bookmarkStart w:id="0" w:name="_GoBack"/>
      <w:bookmarkEnd w:id="0"/>
      <w:r>
        <w:rPr>
          <w:lang w:val="es-MX"/>
        </w:rPr>
        <w:t xml:space="preserve">27.05.13, se presentaron ocho propuestas pertenecientes a las </w:t>
      </w:r>
      <w:r w:rsidR="00125FD1">
        <w:rPr>
          <w:lang w:val="es-MX"/>
        </w:rPr>
        <w:t>F</w:t>
      </w:r>
      <w:r>
        <w:rPr>
          <w:lang w:val="es-MX"/>
        </w:rPr>
        <w:t>irmas:</w:t>
      </w:r>
      <w:r w:rsidR="008B5DAD">
        <w:rPr>
          <w:rFonts w:cs="Arial"/>
          <w:bCs/>
          <w:lang w:val="es-MX"/>
        </w:rPr>
        <w:t xml:space="preserve"> Cooperativa 26 de agosto;</w:t>
      </w:r>
      <w:r>
        <w:rPr>
          <w:rFonts w:cs="Arial"/>
          <w:bCs/>
          <w:lang w:val="es-MX"/>
        </w:rPr>
        <w:t xml:space="preserve"> A</w:t>
      </w:r>
      <w:r w:rsidR="008B5DAD">
        <w:rPr>
          <w:rFonts w:cs="Arial"/>
          <w:bCs/>
          <w:lang w:val="es-MX"/>
        </w:rPr>
        <w:t xml:space="preserve"> </w:t>
      </w:r>
      <w:r>
        <w:rPr>
          <w:rFonts w:cs="Arial"/>
          <w:bCs/>
          <w:lang w:val="es-MX"/>
        </w:rPr>
        <w:t>y</w:t>
      </w:r>
      <w:r w:rsidR="008B5DAD">
        <w:rPr>
          <w:rFonts w:cs="Arial"/>
          <w:bCs/>
          <w:lang w:val="es-MX"/>
        </w:rPr>
        <w:t xml:space="preserve"> </w:t>
      </w:r>
      <w:r>
        <w:rPr>
          <w:rFonts w:cs="Arial"/>
          <w:bCs/>
          <w:lang w:val="es-MX"/>
        </w:rPr>
        <w:t>M Santa</w:t>
      </w:r>
      <w:r w:rsidR="008B5DAD">
        <w:rPr>
          <w:rFonts w:cs="Arial"/>
          <w:bCs/>
          <w:lang w:val="es-MX"/>
        </w:rPr>
        <w:t xml:space="preserve"> Lucía Ltda.; Hugo Gubba y Asociados; Teregal S.A.; Duodyn S.R.L.; Eduardo Berruti;</w:t>
      </w:r>
      <w:r>
        <w:rPr>
          <w:rFonts w:cs="Arial"/>
          <w:bCs/>
          <w:lang w:val="es-MX"/>
        </w:rPr>
        <w:t xml:space="preserve"> Flamibel S.A. y Mesones Asociados S.R.L;</w:t>
      </w:r>
    </w:p>
    <w:p w:rsidR="00E90828" w:rsidRDefault="00E90828" w:rsidP="008B5DAD">
      <w:pPr>
        <w:spacing w:line="360" w:lineRule="auto"/>
        <w:ind w:firstLine="2835"/>
        <w:jc w:val="both"/>
        <w:rPr>
          <w:rFonts w:cs="Arial"/>
          <w:bCs/>
          <w:lang w:val="es-MX"/>
        </w:rPr>
      </w:pPr>
      <w:r>
        <w:rPr>
          <w:rFonts w:cs="Arial"/>
          <w:b/>
          <w:lang w:val="es-MX"/>
        </w:rPr>
        <w:t xml:space="preserve">2) </w:t>
      </w:r>
      <w:r>
        <w:rPr>
          <w:rFonts w:cs="Arial"/>
          <w:bCs/>
          <w:lang w:val="es-MX"/>
        </w:rPr>
        <w:t>que la Comisión Asesora de Adjudicaciones</w:t>
      </w:r>
      <w:r>
        <w:rPr>
          <w:rFonts w:cs="Arial"/>
          <w:b/>
          <w:lang w:val="es-MX"/>
        </w:rPr>
        <w:t xml:space="preserve">, </w:t>
      </w:r>
      <w:r>
        <w:rPr>
          <w:rFonts w:cs="Arial"/>
          <w:bCs/>
          <w:lang w:val="es-MX"/>
        </w:rPr>
        <w:t xml:space="preserve">con fecha 27.06.13., informó que: </w:t>
      </w:r>
    </w:p>
    <w:p w:rsidR="00E90828" w:rsidRDefault="00E90828" w:rsidP="00E90828">
      <w:pPr>
        <w:spacing w:line="360" w:lineRule="auto"/>
        <w:jc w:val="both"/>
        <w:rPr>
          <w:rFonts w:cs="Arial"/>
          <w:bCs/>
          <w:lang w:val="es-MX"/>
        </w:rPr>
      </w:pPr>
      <w:r>
        <w:rPr>
          <w:rFonts w:cs="Arial"/>
          <w:b/>
          <w:lang w:val="es-MX"/>
        </w:rPr>
        <w:t xml:space="preserve">2.1) </w:t>
      </w:r>
      <w:r>
        <w:rPr>
          <w:rFonts w:cs="Arial"/>
          <w:bCs/>
          <w:lang w:val="es-MX"/>
        </w:rPr>
        <w:t>Cooperativa Social 26 de Agosto no acreditó en su oferta el giro de la empresa con documento de DGI de acuerdo con l</w:t>
      </w:r>
      <w:r w:rsidR="008B5DAD">
        <w:rPr>
          <w:rFonts w:cs="Arial"/>
          <w:bCs/>
          <w:lang w:val="es-MX"/>
        </w:rPr>
        <w:t>o requerido en el Capítulo III Numeral 3.3, Literal C</w:t>
      </w:r>
      <w:r>
        <w:rPr>
          <w:rFonts w:cs="Arial"/>
          <w:bCs/>
          <w:lang w:val="es-MX"/>
        </w:rPr>
        <w:t xml:space="preserve">) del PCP. Tampoco acreditó años de actuación en </w:t>
      </w:r>
      <w:r w:rsidR="00125FD1">
        <w:rPr>
          <w:rFonts w:cs="Arial"/>
          <w:bCs/>
          <w:lang w:val="es-MX"/>
        </w:rPr>
        <w:t>P</w:t>
      </w:r>
      <w:r>
        <w:rPr>
          <w:rFonts w:cs="Arial"/>
          <w:bCs/>
          <w:lang w:val="es-MX"/>
        </w:rPr>
        <w:t>laza vulnerando lo</w:t>
      </w:r>
      <w:r w:rsidR="008B5DAD">
        <w:rPr>
          <w:rFonts w:cs="Arial"/>
          <w:bCs/>
          <w:lang w:val="es-MX"/>
        </w:rPr>
        <w:t xml:space="preserve"> dispuesto por el Capítulo II, N</w:t>
      </w:r>
      <w:r>
        <w:rPr>
          <w:rFonts w:cs="Arial"/>
          <w:bCs/>
          <w:lang w:val="es-MX"/>
        </w:rPr>
        <w:t xml:space="preserve">umeral 3.2 del PCP. Asimismo, modificó la paramétrica de ajustes de precio, siendo este último un apartamiento sustancial, por lo que quedó descartada; </w:t>
      </w:r>
    </w:p>
    <w:p w:rsidR="00E90828" w:rsidRDefault="00E90828" w:rsidP="00E90828">
      <w:pPr>
        <w:spacing w:line="360" w:lineRule="auto"/>
        <w:jc w:val="both"/>
        <w:rPr>
          <w:rFonts w:cs="Arial"/>
          <w:bCs/>
          <w:lang w:val="es-MX"/>
        </w:rPr>
      </w:pPr>
      <w:r>
        <w:rPr>
          <w:rFonts w:cs="Arial"/>
          <w:b/>
          <w:lang w:val="es-MX"/>
        </w:rPr>
        <w:t>2.2)</w:t>
      </w:r>
      <w:r>
        <w:rPr>
          <w:rFonts w:cs="Arial"/>
          <w:bCs/>
          <w:lang w:val="es-MX"/>
        </w:rPr>
        <w:t xml:space="preserve"> Hugo Gubba no agregó en su oferta documento de DGI que acredite giro de la empresa</w:t>
      </w:r>
      <w:r>
        <w:rPr>
          <w:rFonts w:cs="Arial"/>
          <w:b/>
          <w:lang w:val="es-MX"/>
        </w:rPr>
        <w:t>,</w:t>
      </w:r>
      <w:r>
        <w:rPr>
          <w:rFonts w:cs="Arial"/>
          <w:bCs/>
          <w:lang w:val="es-MX"/>
        </w:rPr>
        <w:t xml:space="preserve"> de acuerdo con lo </w:t>
      </w:r>
      <w:r w:rsidR="008B5DAD">
        <w:rPr>
          <w:rFonts w:cs="Arial"/>
          <w:bCs/>
          <w:lang w:val="es-MX"/>
        </w:rPr>
        <w:t>requerido en el Capítulo III Numeral 3.3, Literal C</w:t>
      </w:r>
      <w:r>
        <w:rPr>
          <w:rFonts w:cs="Arial"/>
          <w:bCs/>
          <w:lang w:val="es-MX"/>
        </w:rPr>
        <w:t>) del PCP, por lo que en caso de resultar adjudicatario se le requerirá su presentación;</w:t>
      </w:r>
    </w:p>
    <w:p w:rsidR="00E90828" w:rsidRDefault="00E90828" w:rsidP="00E90828">
      <w:pPr>
        <w:spacing w:line="360" w:lineRule="auto"/>
        <w:jc w:val="both"/>
        <w:rPr>
          <w:rFonts w:cs="Arial"/>
          <w:bCs/>
          <w:lang w:val="es-MX"/>
        </w:rPr>
      </w:pPr>
      <w:r>
        <w:rPr>
          <w:rFonts w:cs="Arial"/>
          <w:b/>
          <w:lang w:val="es-MX"/>
        </w:rPr>
        <w:lastRenderedPageBreak/>
        <w:t>2.3)</w:t>
      </w:r>
      <w:r>
        <w:rPr>
          <w:rFonts w:cs="Arial"/>
          <w:bCs/>
          <w:lang w:val="es-MX"/>
        </w:rPr>
        <w:t xml:space="preserve"> la propuesta de Teregal S.A.</w:t>
      </w:r>
      <w:r>
        <w:rPr>
          <w:rFonts w:cs="Arial"/>
          <w:b/>
          <w:lang w:val="es-MX"/>
        </w:rPr>
        <w:t xml:space="preserve"> </w:t>
      </w:r>
      <w:r>
        <w:rPr>
          <w:rFonts w:cs="Arial"/>
          <w:bCs/>
          <w:lang w:val="es-MX"/>
        </w:rPr>
        <w:t>no establece el valor hora nominal mínimo, lo cual constituye un apartamiento sust</w:t>
      </w:r>
      <w:r w:rsidR="008B5DAD">
        <w:rPr>
          <w:rFonts w:cs="Arial"/>
          <w:bCs/>
          <w:lang w:val="es-MX"/>
        </w:rPr>
        <w:t>ancial;</w:t>
      </w:r>
    </w:p>
    <w:p w:rsidR="00E90828" w:rsidRDefault="00E90828" w:rsidP="00E90828">
      <w:pPr>
        <w:spacing w:line="360" w:lineRule="auto"/>
        <w:jc w:val="both"/>
        <w:rPr>
          <w:rFonts w:cs="Arial"/>
          <w:bCs/>
          <w:lang w:val="es-MX"/>
        </w:rPr>
      </w:pPr>
      <w:r>
        <w:rPr>
          <w:rFonts w:cs="Arial"/>
          <w:b/>
          <w:lang w:val="es-MX"/>
        </w:rPr>
        <w:t>2.4)</w:t>
      </w:r>
      <w:r>
        <w:rPr>
          <w:rFonts w:cs="Arial"/>
          <w:bCs/>
          <w:lang w:val="es-MX"/>
        </w:rPr>
        <w:t xml:space="preserve"> Duodyn S.R.L</w:t>
      </w:r>
      <w:r w:rsidRPr="005E1534">
        <w:rPr>
          <w:rFonts w:cs="Arial"/>
          <w:lang w:val="es-MX"/>
        </w:rPr>
        <w:t>.</w:t>
      </w:r>
      <w:r>
        <w:rPr>
          <w:rFonts w:cs="Arial"/>
          <w:b/>
          <w:lang w:val="es-MX"/>
        </w:rPr>
        <w:t xml:space="preserve"> </w:t>
      </w:r>
      <w:r>
        <w:rPr>
          <w:rFonts w:cs="Arial"/>
          <w:bCs/>
          <w:lang w:val="es-MX"/>
        </w:rPr>
        <w:t>incluyó en su oferta un certificado de</w:t>
      </w:r>
      <w:r w:rsidR="00DE7F9A">
        <w:rPr>
          <w:rFonts w:cs="Arial"/>
          <w:bCs/>
          <w:lang w:val="es-MX"/>
        </w:rPr>
        <w:t>l</w:t>
      </w:r>
      <w:r>
        <w:rPr>
          <w:rFonts w:cs="Arial"/>
          <w:bCs/>
          <w:lang w:val="es-MX"/>
        </w:rPr>
        <w:t xml:space="preserve"> BSE vencido, por lo que se le exigirá que el mismo se encuentre vigente en caso de ser adjudicatario;</w:t>
      </w:r>
    </w:p>
    <w:p w:rsidR="00E90828" w:rsidRDefault="00E90828" w:rsidP="00E90828">
      <w:pPr>
        <w:spacing w:line="360" w:lineRule="auto"/>
        <w:jc w:val="both"/>
        <w:rPr>
          <w:rFonts w:cs="Arial"/>
          <w:bCs/>
          <w:lang w:val="es-MX"/>
        </w:rPr>
      </w:pPr>
      <w:r>
        <w:rPr>
          <w:rFonts w:cs="Arial"/>
          <w:b/>
          <w:lang w:val="es-MX"/>
        </w:rPr>
        <w:t>2.5)</w:t>
      </w:r>
      <w:r>
        <w:rPr>
          <w:rFonts w:cs="Arial"/>
          <w:bCs/>
          <w:lang w:val="es-MX"/>
        </w:rPr>
        <w:t xml:space="preserve">  la propuesta de Eduardo Berruti</w:t>
      </w:r>
      <w:r>
        <w:rPr>
          <w:rFonts w:cs="Arial"/>
          <w:b/>
          <w:lang w:val="es-MX"/>
        </w:rPr>
        <w:t xml:space="preserve"> </w:t>
      </w:r>
      <w:r>
        <w:rPr>
          <w:rFonts w:cs="Arial"/>
          <w:bCs/>
          <w:lang w:val="es-MX"/>
        </w:rPr>
        <w:t>se apartó del beneficio de</w:t>
      </w:r>
      <w:r w:rsidR="00DE7F9A">
        <w:rPr>
          <w:rFonts w:cs="Arial"/>
          <w:bCs/>
          <w:lang w:val="es-MX"/>
        </w:rPr>
        <w:t>l</w:t>
      </w:r>
      <w:r>
        <w:rPr>
          <w:rFonts w:cs="Arial"/>
          <w:bCs/>
          <w:lang w:val="es-MX"/>
        </w:rPr>
        <w:t xml:space="preserve"> PYMES</w:t>
      </w:r>
      <w:r w:rsidR="00DE7F9A">
        <w:rPr>
          <w:rFonts w:cs="Arial"/>
          <w:bCs/>
          <w:lang w:val="es-MX"/>
        </w:rPr>
        <w:t>,</w:t>
      </w:r>
      <w:r>
        <w:rPr>
          <w:rFonts w:cs="Arial"/>
          <w:bCs/>
          <w:lang w:val="es-MX"/>
        </w:rPr>
        <w:t xml:space="preserve"> ya que no presentó el certificado conjuntamente con la oferta sino días después;</w:t>
      </w:r>
    </w:p>
    <w:p w:rsidR="00E90828" w:rsidRDefault="00E90828" w:rsidP="00E90828">
      <w:pPr>
        <w:pStyle w:val="Textoindependiente"/>
      </w:pPr>
      <w:r>
        <w:rPr>
          <w:b/>
          <w:bCs w:val="0"/>
        </w:rPr>
        <w:t>2.6)</w:t>
      </w:r>
      <w:r>
        <w:t xml:space="preserve"> las ofertas de Flamibel S.A.</w:t>
      </w:r>
      <w:r w:rsidR="00DE7F9A">
        <w:t xml:space="preserve">, </w:t>
      </w:r>
      <w:r>
        <w:t xml:space="preserve">y </w:t>
      </w:r>
      <w:r w:rsidR="00EC5B60">
        <w:t>A y M</w:t>
      </w:r>
      <w:r w:rsidRPr="005E1534">
        <w:rPr>
          <w:color w:val="C00000"/>
        </w:rPr>
        <w:t xml:space="preserve"> </w:t>
      </w:r>
      <w:r>
        <w:t>Santa Lucía no presentaron apartamientos;</w:t>
      </w:r>
    </w:p>
    <w:p w:rsidR="00E90828" w:rsidRDefault="00E90828" w:rsidP="00E90828">
      <w:pPr>
        <w:pStyle w:val="Textoindependiente"/>
      </w:pPr>
      <w:r>
        <w:rPr>
          <w:b/>
          <w:bCs w:val="0"/>
        </w:rPr>
        <w:t>2.7)</w:t>
      </w:r>
      <w:r>
        <w:t xml:space="preserve">  </w:t>
      </w:r>
      <w:r w:rsidR="005E1534">
        <w:rPr>
          <w:bCs w:val="0"/>
        </w:rPr>
        <w:t>el Artículo 1.7 del C</w:t>
      </w:r>
      <w:r>
        <w:rPr>
          <w:bCs w:val="0"/>
        </w:rPr>
        <w:t xml:space="preserve">apítulo II del Pliego que rigió el </w:t>
      </w:r>
      <w:r w:rsidR="00DE7F9A">
        <w:rPr>
          <w:bCs w:val="0"/>
        </w:rPr>
        <w:t>L</w:t>
      </w:r>
      <w:r>
        <w:rPr>
          <w:bCs w:val="0"/>
        </w:rPr>
        <w:t>lamado, el cual originalmente establecía un salario mínimo nominal para el personal contratado de 4 BPC, fue el modificado pasando a establecer un salario mínimo nominal de acuerdo con el mon</w:t>
      </w:r>
      <w:r w:rsidR="00DE7F9A">
        <w:rPr>
          <w:bCs w:val="0"/>
        </w:rPr>
        <w:t>to fijado para el Grupo 19, Sub-</w:t>
      </w:r>
      <w:r>
        <w:rPr>
          <w:bCs w:val="0"/>
        </w:rPr>
        <w:t xml:space="preserve">Grupo 2 para el </w:t>
      </w:r>
      <w:r w:rsidR="00DE7F9A">
        <w:rPr>
          <w:bCs w:val="0"/>
        </w:rPr>
        <w:t>E</w:t>
      </w:r>
      <w:r>
        <w:rPr>
          <w:bCs w:val="0"/>
        </w:rPr>
        <w:t xml:space="preserve">scalafón de Servicios emitido por el Ministerio de Trabajo y Seguridad Social. No obstante lo cual, </w:t>
      </w:r>
      <w:r>
        <w:t>no se tuvo en cuenta al momento de evaluar las ofertas, la mencionada modificación</w:t>
      </w:r>
      <w:r w:rsidR="00DE7F9A">
        <w:t>,</w:t>
      </w:r>
      <w:r>
        <w:t xml:space="preserve"> ya que la misma no fue notificada a los oferentes dentr</w:t>
      </w:r>
      <w:r w:rsidR="005E1534">
        <w:t>o del plazo establecido por el A</w:t>
      </w:r>
      <w:r>
        <w:t xml:space="preserve">rtículo 38 del Pliego General de Suministros, sin perjuicio de lo cual, la Administración controlará que la </w:t>
      </w:r>
      <w:r w:rsidR="00DE7F9A">
        <w:t>F</w:t>
      </w:r>
      <w:r>
        <w:t>irma adjudicataria cumpla con las normas laborales vigentes</w:t>
      </w:r>
      <w:r w:rsidR="00DE7F9A">
        <w:t>,</w:t>
      </w:r>
      <w:r>
        <w:t xml:space="preserve"> ya</w:t>
      </w:r>
      <w:r w:rsidR="005E1534">
        <w:t xml:space="preserve"> que ello está previsto por el Artículo 16.1 L</w:t>
      </w:r>
      <w:r>
        <w:t>iteral</w:t>
      </w:r>
      <w:r w:rsidR="005E1534">
        <w:t xml:space="preserve"> A) del C</w:t>
      </w:r>
      <w:r>
        <w:t xml:space="preserve">apítulo III del Pliego; </w:t>
      </w:r>
    </w:p>
    <w:p w:rsidR="00E90828" w:rsidRDefault="00E90828" w:rsidP="005E1534">
      <w:pPr>
        <w:spacing w:line="360" w:lineRule="auto"/>
        <w:ind w:firstLine="2835"/>
        <w:jc w:val="both"/>
        <w:rPr>
          <w:rFonts w:cs="Arial"/>
          <w:bCs/>
          <w:lang w:val="es-MX"/>
        </w:rPr>
      </w:pPr>
      <w:r>
        <w:rPr>
          <w:b/>
          <w:bCs/>
        </w:rPr>
        <w:t xml:space="preserve">3) </w:t>
      </w:r>
      <w:r>
        <w:t>que Flamibel S.A., luego de tomar conoc</w:t>
      </w:r>
      <w:r w:rsidR="005E1534">
        <w:t>imiento de la modificación del Artículo 1.7 del C</w:t>
      </w:r>
      <w:r>
        <w:t>apítulo II del Pliego de Condiciones Particulares, presentó nota en la que expresó</w:t>
      </w:r>
      <w:r>
        <w:rPr>
          <w:rFonts w:cs="Arial"/>
          <w:lang w:val="es-MX"/>
        </w:rPr>
        <w:t xml:space="preserve"> </w:t>
      </w:r>
      <w:r>
        <w:rPr>
          <w:rFonts w:cs="Arial"/>
          <w:bCs/>
          <w:lang w:val="es-MX"/>
        </w:rPr>
        <w:t xml:space="preserve">que el Consejo de Salario al cual se refiere la disposición no corresponde al </w:t>
      </w:r>
      <w:r w:rsidR="00DE7F9A">
        <w:rPr>
          <w:rFonts w:cs="Arial"/>
          <w:bCs/>
          <w:lang w:val="es-MX"/>
        </w:rPr>
        <w:t>O</w:t>
      </w:r>
      <w:r>
        <w:rPr>
          <w:rFonts w:cs="Arial"/>
          <w:bCs/>
          <w:lang w:val="es-MX"/>
        </w:rPr>
        <w:t xml:space="preserve">bjeto de la </w:t>
      </w:r>
      <w:r w:rsidR="00DE7F9A">
        <w:rPr>
          <w:rFonts w:cs="Arial"/>
          <w:bCs/>
          <w:lang w:val="es-MX"/>
        </w:rPr>
        <w:t>L</w:t>
      </w:r>
      <w:r>
        <w:rPr>
          <w:rFonts w:cs="Arial"/>
          <w:bCs/>
          <w:lang w:val="es-MX"/>
        </w:rPr>
        <w:t>icitación, en tanto el Grupo 19 se refiere a Servicios profesionales, técnicos, especializados y aqu</w:t>
      </w:r>
      <w:r w:rsidR="00DE7F9A">
        <w:rPr>
          <w:rFonts w:cs="Arial"/>
          <w:bCs/>
          <w:lang w:val="es-MX"/>
        </w:rPr>
        <w:t>é</w:t>
      </w:r>
      <w:r>
        <w:rPr>
          <w:rFonts w:cs="Arial"/>
          <w:bCs/>
          <w:lang w:val="es-MX"/>
        </w:rPr>
        <w:t xml:space="preserve">llos no incluidos en otros </w:t>
      </w:r>
      <w:r w:rsidR="00DE7F9A">
        <w:rPr>
          <w:rFonts w:cs="Arial"/>
          <w:bCs/>
          <w:lang w:val="es-MX"/>
        </w:rPr>
        <w:t>G</w:t>
      </w:r>
      <w:r>
        <w:rPr>
          <w:rFonts w:cs="Arial"/>
          <w:bCs/>
          <w:lang w:val="es-MX"/>
        </w:rPr>
        <w:t xml:space="preserve">rupos, siendo que en este caso, la categoría solicitada, peón de carga y descarga, se ubica en el Grupo 13 Transporte y </w:t>
      </w:r>
      <w:r w:rsidR="00DE7F9A">
        <w:rPr>
          <w:rFonts w:cs="Arial"/>
          <w:bCs/>
          <w:lang w:val="es-MX"/>
        </w:rPr>
        <w:t>Almacenamiento Sub-</w:t>
      </w:r>
      <w:r>
        <w:rPr>
          <w:rFonts w:cs="Arial"/>
          <w:bCs/>
          <w:lang w:val="es-MX"/>
        </w:rPr>
        <w:t>Grupo 1</w:t>
      </w:r>
      <w:r w:rsidR="005E1534">
        <w:rPr>
          <w:rFonts w:cs="Arial"/>
          <w:bCs/>
          <w:lang w:val="es-MX"/>
        </w:rPr>
        <w:t>1 Servicios Logísticos Literal B</w:t>
      </w:r>
      <w:r>
        <w:rPr>
          <w:rFonts w:cs="Arial"/>
          <w:bCs/>
          <w:lang w:val="es-MX"/>
        </w:rPr>
        <w:t xml:space="preserve">) Estiba y manipulación de la carga y de la descarga. </w:t>
      </w:r>
    </w:p>
    <w:p w:rsidR="00E90828" w:rsidRDefault="00E90828" w:rsidP="00EC5B60">
      <w:pPr>
        <w:spacing w:line="360" w:lineRule="auto"/>
        <w:ind w:firstLine="2835"/>
        <w:jc w:val="both"/>
        <w:rPr>
          <w:rFonts w:cs="Arial"/>
          <w:bCs/>
          <w:lang w:val="es-MX"/>
        </w:rPr>
      </w:pPr>
      <w:r>
        <w:rPr>
          <w:b/>
        </w:rPr>
        <w:lastRenderedPageBreak/>
        <w:t xml:space="preserve">4) </w:t>
      </w:r>
      <w:r w:rsidR="00EC5B60">
        <w:rPr>
          <w:bCs/>
        </w:rPr>
        <w:t>que el Artículo 7 del C</w:t>
      </w:r>
      <w:r>
        <w:rPr>
          <w:bCs/>
        </w:rPr>
        <w:t xml:space="preserve">apítulo I del Pliego que rigió el </w:t>
      </w:r>
      <w:r w:rsidR="00112E3E">
        <w:rPr>
          <w:bCs/>
        </w:rPr>
        <w:t>L</w:t>
      </w:r>
      <w:r>
        <w:rPr>
          <w:bCs/>
        </w:rPr>
        <w:t>lamado establece que l</w:t>
      </w:r>
      <w:r>
        <w:rPr>
          <w:rFonts w:cs="Arial"/>
          <w:bCs/>
          <w:lang w:val="es-MX"/>
        </w:rPr>
        <w:t xml:space="preserve">a Comisión Asesora de Adjudicación de Licitaciones evaluará las propuestas presentadas de acuerdo </w:t>
      </w:r>
      <w:r w:rsidR="00112E3E">
        <w:rPr>
          <w:rFonts w:cs="Arial"/>
          <w:bCs/>
          <w:lang w:val="es-MX"/>
        </w:rPr>
        <w:t>con e</w:t>
      </w:r>
      <w:r>
        <w:rPr>
          <w:rFonts w:cs="Arial"/>
          <w:bCs/>
          <w:lang w:val="es-MX"/>
        </w:rPr>
        <w:t>l siguiente procedimiento: a cada postulante se le asignará una Calificación Técnica, y a cada oferente se le as</w:t>
      </w:r>
      <w:r w:rsidR="00112E3E">
        <w:rPr>
          <w:rFonts w:cs="Arial"/>
          <w:bCs/>
          <w:lang w:val="es-MX"/>
        </w:rPr>
        <w:t>ignará una Calificación Técnica</w:t>
      </w:r>
      <w:r>
        <w:rPr>
          <w:rFonts w:cs="Arial"/>
          <w:bCs/>
          <w:lang w:val="es-MX"/>
        </w:rPr>
        <w:t xml:space="preserve"> y otra Económica. Las calificaciones obtenidas serán usadas para determinar la Calificación Final de Empresas (C.F.E.), siendo la adjudicataria la que obtenga la mayor calificación final;</w:t>
      </w:r>
    </w:p>
    <w:p w:rsidR="00E90828" w:rsidRDefault="00E90828" w:rsidP="00EC5B60">
      <w:pPr>
        <w:spacing w:line="360" w:lineRule="auto"/>
        <w:ind w:firstLine="2835"/>
        <w:jc w:val="both"/>
        <w:rPr>
          <w:rFonts w:cs="Arial"/>
          <w:bCs/>
          <w:lang w:val="es-MX"/>
        </w:rPr>
      </w:pPr>
      <w:r>
        <w:rPr>
          <w:b/>
          <w:lang w:val="es-MX"/>
        </w:rPr>
        <w:t xml:space="preserve">5) </w:t>
      </w:r>
      <w:r>
        <w:rPr>
          <w:bCs/>
        </w:rPr>
        <w:t xml:space="preserve">que la Comisión Asesora, con </w:t>
      </w:r>
      <w:r>
        <w:rPr>
          <w:rFonts w:cs="Arial"/>
          <w:bCs/>
          <w:lang w:val="es-MX"/>
        </w:rPr>
        <w:t xml:space="preserve">fecha 04.07.13, realizó la evaluación de acuerdo con el criterio establecido en el Pliego y concluyó que la </w:t>
      </w:r>
      <w:r w:rsidR="00112E3E">
        <w:rPr>
          <w:rFonts w:cs="Arial"/>
          <w:bCs/>
          <w:lang w:val="es-MX"/>
        </w:rPr>
        <w:t>F</w:t>
      </w:r>
      <w:r>
        <w:rPr>
          <w:rFonts w:cs="Arial"/>
          <w:bCs/>
          <w:lang w:val="es-MX"/>
        </w:rPr>
        <w:t>irma que obtuvo el mayor puntaje fue Flamibel S.A. (98,44 puntos), por lo que propuso adjudicarle por un total de $  $ 6:423.681,79 que incluye horas básicas contratadas, reserva de rubro para horas extras, ajuste paramétrico e IVA;</w:t>
      </w:r>
    </w:p>
    <w:p w:rsidR="00E90828" w:rsidRDefault="00E90828" w:rsidP="00EC5B60">
      <w:pPr>
        <w:spacing w:line="360" w:lineRule="auto"/>
        <w:ind w:firstLine="2835"/>
        <w:jc w:val="both"/>
        <w:rPr>
          <w:rFonts w:cs="Arial"/>
          <w:bCs/>
          <w:lang w:val="es-MX"/>
        </w:rPr>
      </w:pPr>
      <w:r>
        <w:rPr>
          <w:rFonts w:cs="Arial"/>
          <w:b/>
          <w:lang w:val="es-MX"/>
        </w:rPr>
        <w:t xml:space="preserve">6) </w:t>
      </w:r>
      <w:r>
        <w:rPr>
          <w:rFonts w:cs="Arial"/>
          <w:bCs/>
          <w:lang w:val="es-MX"/>
        </w:rPr>
        <w:t>que la Gerencia de Suministros, con fecha 17.07.13,  siguió lo aconsejado por la Comisión al disponer adjudicar a Flamibel S.A y autorizar un crédito por la suma de $ 6:423.681,79 a fin de financiar el gasto derivado de la contratación, monto que se desglosa de la siguiente manera: $ 3:656.467,32 por concepto de básico, más impuestos; $ 731.293,46 por concepto de reserva de rubro horas extras, más impuestos</w:t>
      </w:r>
      <w:r w:rsidR="00112E3E">
        <w:rPr>
          <w:rFonts w:cs="Arial"/>
          <w:bCs/>
          <w:lang w:val="es-MX"/>
        </w:rPr>
        <w:t>;</w:t>
      </w:r>
      <w:r>
        <w:rPr>
          <w:rFonts w:cs="Arial"/>
          <w:bCs/>
          <w:lang w:val="es-MX"/>
        </w:rPr>
        <w:t xml:space="preserve"> y $ 877.552,16 por concepto de ajustes de precios, más impuestos;</w:t>
      </w:r>
    </w:p>
    <w:p w:rsidR="00E90828" w:rsidRDefault="00E90828" w:rsidP="00EC5B60">
      <w:pPr>
        <w:spacing w:line="360" w:lineRule="auto"/>
        <w:ind w:firstLine="2835"/>
        <w:jc w:val="both"/>
        <w:rPr>
          <w:rFonts w:cs="Arial"/>
          <w:bCs/>
          <w:lang w:val="es-MX"/>
        </w:rPr>
      </w:pPr>
      <w:r>
        <w:rPr>
          <w:b/>
        </w:rPr>
        <w:t>7)</w:t>
      </w:r>
      <w:r>
        <w:rPr>
          <w:b/>
          <w:bCs/>
        </w:rPr>
        <w:t xml:space="preserve"> </w:t>
      </w:r>
      <w:r>
        <w:t xml:space="preserve">que la Contadora Delegada, con fecha 30.07.13 observó el gasto porque el mismo se imputó a un </w:t>
      </w:r>
      <w:r w:rsidR="00112E3E">
        <w:t>G</w:t>
      </w:r>
      <w:r>
        <w:t>rupo carente de disponibilidad presupuestal suficiente</w:t>
      </w:r>
      <w:r w:rsidR="00112E3E">
        <w:t>,</w:t>
      </w:r>
      <w:r>
        <w:t xml:space="preserve"> cont</w:t>
      </w:r>
      <w:r w:rsidR="00EC5B60">
        <w:t>raviniendo lo dispuesto por el A</w:t>
      </w:r>
      <w:r>
        <w:t>rtículo 15 del TOCAF y porque no se dio cumplimiento a lo dispuesto en el Decreto 232/10, reglamentario de la Ley 18.831 (de acceso a la información pública). Ante ello, la Gerencia de Suministros, con fecha 02.08.13, dispuso reiterar</w:t>
      </w:r>
      <w:r>
        <w:rPr>
          <w:rFonts w:cs="Arial"/>
          <w:b/>
          <w:lang w:val="es-MX"/>
        </w:rPr>
        <w:t xml:space="preserve"> </w:t>
      </w:r>
      <w:r>
        <w:rPr>
          <w:rFonts w:cs="Arial"/>
          <w:bCs/>
          <w:lang w:val="es-MX"/>
        </w:rPr>
        <w:t>el gasto</w:t>
      </w:r>
      <w:r w:rsidR="00112E3E">
        <w:rPr>
          <w:rFonts w:cs="Arial"/>
          <w:bCs/>
          <w:lang w:val="es-MX"/>
        </w:rPr>
        <w:t>,</w:t>
      </w:r>
      <w:r>
        <w:rPr>
          <w:rFonts w:cs="Arial"/>
          <w:bCs/>
          <w:lang w:val="es-MX"/>
        </w:rPr>
        <w:t xml:space="preserve"> aduciendo que la contratación es imprescindible dado</w:t>
      </w:r>
      <w:r w:rsidR="00112E3E">
        <w:rPr>
          <w:rFonts w:cs="Arial"/>
          <w:bCs/>
          <w:lang w:val="es-MX"/>
        </w:rPr>
        <w:t>s</w:t>
      </w:r>
      <w:r>
        <w:rPr>
          <w:rFonts w:cs="Arial"/>
          <w:bCs/>
          <w:lang w:val="es-MX"/>
        </w:rPr>
        <w:t xml:space="preserve"> los </w:t>
      </w:r>
      <w:r>
        <w:rPr>
          <w:rFonts w:cs="Arial"/>
          <w:bCs/>
          <w:lang w:val="es-MX"/>
        </w:rPr>
        <w:lastRenderedPageBreak/>
        <w:t>requerimientos funcionales y la insuficiencia de las dotaciones para cumplirlos adecuadamente en los depósitos de los almacenes primarios;</w:t>
      </w:r>
    </w:p>
    <w:p w:rsidR="00E90828" w:rsidRDefault="00E90828" w:rsidP="00EC5B60">
      <w:pPr>
        <w:spacing w:line="360" w:lineRule="auto"/>
        <w:ind w:firstLine="2835"/>
        <w:jc w:val="both"/>
      </w:pPr>
      <w:r>
        <w:rPr>
          <w:b/>
        </w:rPr>
        <w:t xml:space="preserve">8) </w:t>
      </w:r>
      <w:r>
        <w:t xml:space="preserve">que con fecha 16.08.13, la </w:t>
      </w:r>
      <w:r w:rsidR="00C7497A">
        <w:t>F</w:t>
      </w:r>
      <w:r>
        <w:t>irma A</w:t>
      </w:r>
      <w:r w:rsidR="00EC5B60">
        <w:t xml:space="preserve"> </w:t>
      </w:r>
      <w:r>
        <w:t>y</w:t>
      </w:r>
      <w:r w:rsidR="00EC5B60">
        <w:t xml:space="preserve"> </w:t>
      </w:r>
      <w:r>
        <w:t>M Santa Lucía Ltda</w:t>
      </w:r>
      <w:r w:rsidR="000F1815">
        <w:t>.</w:t>
      </w:r>
      <w:r>
        <w:t xml:space="preserve"> interpuso recursos de revocación, jerárquico y de a</w:t>
      </w:r>
      <w:r w:rsidR="000F1815">
        <w:t>nulación en subsidio contra la R</w:t>
      </w:r>
      <w:r>
        <w:t>esolución de adjudicación</w:t>
      </w:r>
      <w:r w:rsidR="00C7497A">
        <w:t>,</w:t>
      </w:r>
      <w:r>
        <w:t xml:space="preserve"> en razón de sentirse agraviada por entender que la adjudicataria no </w:t>
      </w:r>
      <w:r w:rsidR="000F1815">
        <w:t>cumplió con lo dispuesto en el Capítulo II, N</w:t>
      </w:r>
      <w:r>
        <w:t>umeral 1.7 del Pliego de Condiciones Particulares. E</w:t>
      </w:r>
      <w:r w:rsidR="000F1815">
        <w:t>llo se funda</w:t>
      </w:r>
      <w:r>
        <w:t xml:space="preserve"> </w:t>
      </w:r>
      <w:r w:rsidR="00C7497A">
        <w:t>en que en la oferta de Flamibel S.A.</w:t>
      </w:r>
      <w:r>
        <w:t xml:space="preserve"> se establece que los trabajadores cobrarían en función del Grupo 13 Transporte y Almacenamiento</w:t>
      </w:r>
      <w:r w:rsidR="000F1815">
        <w:t>,</w:t>
      </w:r>
      <w:r w:rsidR="00C7497A">
        <w:t xml:space="preserve"> Sub-</w:t>
      </w:r>
      <w:r w:rsidR="000F1815">
        <w:t>Grupo 11 Servicios Logísticos Literal B</w:t>
      </w:r>
      <w:r>
        <w:t>) Estiba y manipulación de carga y descarga</w:t>
      </w:r>
      <w:r w:rsidR="00C7497A">
        <w:t>,</w:t>
      </w:r>
      <w:r>
        <w:t xml:space="preserve"> y no de acuerdo con los valores del </w:t>
      </w:r>
      <w:r w:rsidR="00C7497A">
        <w:t>G</w:t>
      </w:r>
      <w:r>
        <w:t>rupo 19 “Servicios Profesionales, Técnicos Especializados y aqu</w:t>
      </w:r>
      <w:r w:rsidR="00C7497A">
        <w:t>é</w:t>
      </w:r>
      <w:r>
        <w:t>llos no incluidos</w:t>
      </w:r>
      <w:r w:rsidR="00C7497A">
        <w:t xml:space="preserve"> en otros Grupos”, Sub-</w:t>
      </w:r>
      <w:r w:rsidR="000F1815">
        <w:t>Grupo 02 “</w:t>
      </w:r>
      <w:r>
        <w:t xml:space="preserve">Empresas Suministradoras de Personal”, como indica la referida norma del Pliego. Asimismo, la recurrente expresa que Teregal S.A. se apartó sustancialmente del </w:t>
      </w:r>
      <w:r w:rsidR="00C7497A">
        <w:t>P</w:t>
      </w:r>
      <w:r>
        <w:t>liego al no establecer el valor hora nominal mínimo</w:t>
      </w:r>
      <w:r w:rsidR="00C7497A">
        <w:t>,</w:t>
      </w:r>
      <w:r>
        <w:t xml:space="preserve"> y que Duodyn S.R.L. fijó un valor hora nominal mínimo efectivamente trabajado por deb</w:t>
      </w:r>
      <w:r w:rsidR="00C7497A">
        <w:t>ajo del laudo del Grupo 19, Sub-</w:t>
      </w:r>
      <w:r>
        <w:t xml:space="preserve">Grupo 2 e incluso de las 4 BPC con las que declaró cumplir, ante lo cual, en definitiva, solicitó la revocación del acto administrativo que dispuso la adjudicación y que se procediera a </w:t>
      </w:r>
      <w:r w:rsidR="002E3E21">
        <w:t xml:space="preserve"> </w:t>
      </w:r>
      <w:r>
        <w:t xml:space="preserve">adjudicar </w:t>
      </w:r>
      <w:r w:rsidR="002E3E21">
        <w:t xml:space="preserve"> </w:t>
      </w:r>
      <w:r>
        <w:t xml:space="preserve">a </w:t>
      </w:r>
      <w:r w:rsidR="002E3E21">
        <w:t xml:space="preserve"> </w:t>
      </w:r>
      <w:r>
        <w:t>A</w:t>
      </w:r>
      <w:r w:rsidR="002E3E21">
        <w:t xml:space="preserve"> </w:t>
      </w:r>
      <w:r>
        <w:t>y</w:t>
      </w:r>
      <w:r w:rsidR="002E3E21">
        <w:t xml:space="preserve"> </w:t>
      </w:r>
      <w:r>
        <w:t>M Santa Lucía Ltda.;</w:t>
      </w:r>
    </w:p>
    <w:p w:rsidR="00E90828" w:rsidRDefault="00E90828" w:rsidP="002E3E21">
      <w:pPr>
        <w:spacing w:line="360" w:lineRule="auto"/>
        <w:ind w:firstLine="2835"/>
        <w:jc w:val="both"/>
        <w:rPr>
          <w:rFonts w:cs="Arial"/>
          <w:bCs/>
          <w:lang w:val="es-MX"/>
        </w:rPr>
      </w:pPr>
      <w:r>
        <w:rPr>
          <w:b/>
        </w:rPr>
        <w:t>9)</w:t>
      </w:r>
      <w:r>
        <w:t xml:space="preserve"> que </w:t>
      </w:r>
      <w:r>
        <w:rPr>
          <w:rFonts w:cs="Arial"/>
          <w:bCs/>
          <w:lang w:val="es-MX"/>
        </w:rPr>
        <w:t>la Dra. María Inés Guerrero, integrante de la Comisión Asesora, con fecha 05.09.13., presentó informe en el que expresó que:</w:t>
      </w:r>
    </w:p>
    <w:p w:rsidR="00E90828" w:rsidRDefault="00E90828" w:rsidP="00E90828">
      <w:pPr>
        <w:spacing w:line="360" w:lineRule="auto"/>
        <w:jc w:val="both"/>
        <w:rPr>
          <w:rFonts w:cs="Arial"/>
          <w:bCs/>
          <w:lang w:val="es-MX"/>
        </w:rPr>
      </w:pPr>
      <w:r>
        <w:rPr>
          <w:rFonts w:cs="Arial"/>
          <w:b/>
          <w:lang w:val="es-MX"/>
        </w:rPr>
        <w:t>9.1)</w:t>
      </w:r>
      <w:r>
        <w:rPr>
          <w:rFonts w:cs="Arial"/>
          <w:bCs/>
          <w:lang w:val="es-MX"/>
        </w:rPr>
        <w:t xml:space="preserve"> a</w:t>
      </w:r>
      <w:r w:rsidR="002E3E21">
        <w:rPr>
          <w:rFonts w:cs="Arial"/>
          <w:bCs/>
          <w:lang w:val="es-MX"/>
        </w:rPr>
        <w:t>nte la inconsistencia entre el Artículo 1.7 del C</w:t>
      </w:r>
      <w:r>
        <w:rPr>
          <w:rFonts w:cs="Arial"/>
          <w:bCs/>
          <w:lang w:val="es-MX"/>
        </w:rPr>
        <w:t xml:space="preserve">apítulo II del Pliego original  y el modificado, y siendo que dicha modificación no fue notificada a los oferentes en tiempo y forma, la Comisión optó por considerar todas las ofertas sin tener en cuenta el salario declarado, de forma tal de sanear el procedimiento y preservar la igualdad de los oferentes; </w:t>
      </w:r>
    </w:p>
    <w:p w:rsidR="00E90828" w:rsidRDefault="00E90828" w:rsidP="00E90828">
      <w:pPr>
        <w:spacing w:line="360" w:lineRule="auto"/>
        <w:jc w:val="both"/>
        <w:rPr>
          <w:rFonts w:cs="Arial"/>
          <w:bCs/>
          <w:lang w:val="es-MX"/>
        </w:rPr>
      </w:pPr>
      <w:r>
        <w:rPr>
          <w:rFonts w:cs="Arial"/>
          <w:b/>
          <w:lang w:val="es-MX"/>
        </w:rPr>
        <w:lastRenderedPageBreak/>
        <w:t>9.2)</w:t>
      </w:r>
      <w:r>
        <w:rPr>
          <w:rFonts w:cs="Arial"/>
          <w:bCs/>
          <w:lang w:val="es-MX"/>
        </w:rPr>
        <w:t xml:space="preserve"> que por otra parte, la declaración del salario a abonar no era determinante para la calificación ni para la evaluación de las empresas; </w:t>
      </w:r>
    </w:p>
    <w:p w:rsidR="00E90828" w:rsidRDefault="00E90828" w:rsidP="00E90828">
      <w:pPr>
        <w:spacing w:line="360" w:lineRule="auto"/>
        <w:jc w:val="both"/>
        <w:rPr>
          <w:rFonts w:cs="Arial"/>
          <w:bCs/>
          <w:lang w:val="es-MX"/>
        </w:rPr>
      </w:pPr>
      <w:r>
        <w:rPr>
          <w:rFonts w:cs="Arial"/>
          <w:b/>
          <w:lang w:val="es-MX"/>
        </w:rPr>
        <w:t>9.3)</w:t>
      </w:r>
      <w:r>
        <w:rPr>
          <w:rFonts w:cs="Arial"/>
          <w:bCs/>
          <w:lang w:val="es-MX"/>
        </w:rPr>
        <w:t xml:space="preserve"> que asimismo, sin perjuici</w:t>
      </w:r>
      <w:r w:rsidR="002E3E21">
        <w:rPr>
          <w:rFonts w:cs="Arial"/>
          <w:bCs/>
          <w:lang w:val="es-MX"/>
        </w:rPr>
        <w:t>o de lo manifestado, surge del Capítulo III Artículos 16.1 Literal A) y 16.2 Literal B</w:t>
      </w:r>
      <w:r>
        <w:rPr>
          <w:rFonts w:cs="Arial"/>
          <w:bCs/>
          <w:lang w:val="es-MX"/>
        </w:rPr>
        <w:t xml:space="preserve">) del Pliego de Condiciones Particulares que la Administración realizará los controles pertinentes a efectos de verificar que la </w:t>
      </w:r>
      <w:r w:rsidR="00C86FA0">
        <w:rPr>
          <w:rFonts w:cs="Arial"/>
          <w:bCs/>
          <w:lang w:val="es-MX"/>
        </w:rPr>
        <w:t>F</w:t>
      </w:r>
      <w:r>
        <w:rPr>
          <w:rFonts w:cs="Arial"/>
          <w:bCs/>
          <w:lang w:val="es-MX"/>
        </w:rPr>
        <w:t>irma adjudicataria cumpla con los salarios vigentes de la rama que corresponde, por lo que la referida norma es una garantía de que la adjudicataria cumplirá con los convenios colectivos del sector y con la normativa laboral vigente;</w:t>
      </w:r>
    </w:p>
    <w:p w:rsidR="00E90828" w:rsidRDefault="00E90828" w:rsidP="00E90828">
      <w:pPr>
        <w:spacing w:line="360" w:lineRule="auto"/>
        <w:jc w:val="both"/>
        <w:rPr>
          <w:rFonts w:cs="Arial"/>
          <w:bCs/>
          <w:lang w:val="es-MX"/>
        </w:rPr>
      </w:pPr>
      <w:r>
        <w:rPr>
          <w:rFonts w:cs="Arial"/>
          <w:b/>
          <w:lang w:val="es-MX"/>
        </w:rPr>
        <w:t>9.4)</w:t>
      </w:r>
      <w:r>
        <w:rPr>
          <w:rFonts w:cs="Arial"/>
          <w:bCs/>
          <w:lang w:val="es-MX"/>
        </w:rPr>
        <w:t xml:space="preserve"> que atendiendo a los principios generales de la contratación administrativa y en especial a los de flexibilidad, razonabilidad, ausencia de ritualismo y no vulnerándose el principio de igualdad, es que se aconsejó la adjudicación a Flamibel S.A., dado que era la oferta válida con mejor calificación final;</w:t>
      </w:r>
    </w:p>
    <w:p w:rsidR="00E90828" w:rsidRDefault="00E90828" w:rsidP="002E3E21">
      <w:pPr>
        <w:spacing w:line="360" w:lineRule="auto"/>
        <w:ind w:firstLine="2835"/>
        <w:jc w:val="both"/>
        <w:rPr>
          <w:b/>
          <w:bCs/>
        </w:rPr>
      </w:pPr>
      <w:r>
        <w:rPr>
          <w:b/>
          <w:bCs/>
        </w:rPr>
        <w:t xml:space="preserve">10) </w:t>
      </w:r>
      <w:r>
        <w:rPr>
          <w:rFonts w:cs="Arial"/>
          <w:bCs/>
          <w:lang w:val="es-MX"/>
        </w:rPr>
        <w:t>que la Gerencia de Suministros, con fecha 10.09.13, recogió los argumentos esgrimidos por la Dra. Guerrero en su informe y dispuso no hacer lugar al recurso de revocación interpuesto y ratificar la adjudicación efectuada el 17.07.13;</w:t>
      </w:r>
    </w:p>
    <w:p w:rsidR="00E90828" w:rsidRDefault="00E90828" w:rsidP="002E3E21">
      <w:pPr>
        <w:spacing w:line="360" w:lineRule="auto"/>
        <w:ind w:firstLine="2835"/>
        <w:jc w:val="both"/>
        <w:rPr>
          <w:rFonts w:cs="Arial"/>
          <w:bCs/>
          <w:lang w:val="es-MX"/>
        </w:rPr>
      </w:pPr>
      <w:r>
        <w:rPr>
          <w:b/>
          <w:bCs/>
        </w:rPr>
        <w:t>11)</w:t>
      </w:r>
      <w:r>
        <w:t xml:space="preserve"> que la</w:t>
      </w:r>
      <w:r>
        <w:rPr>
          <w:rFonts w:cs="Arial"/>
          <w:lang w:val="es-MX"/>
        </w:rPr>
        <w:t xml:space="preserve"> Asesoría Letrada </w:t>
      </w:r>
      <w:r>
        <w:rPr>
          <w:rFonts w:cs="Arial"/>
          <w:bCs/>
          <w:lang w:val="es-MX"/>
        </w:rPr>
        <w:t xml:space="preserve">del Directorio, con fecha 16.09.13, informó que consideraba de recibo los argumentos esgrimidos por la Dra. Guerrero y no así los expresados por la </w:t>
      </w:r>
      <w:r w:rsidR="00C86FA0">
        <w:rPr>
          <w:rFonts w:cs="Arial"/>
          <w:bCs/>
          <w:lang w:val="es-MX"/>
        </w:rPr>
        <w:t>F</w:t>
      </w:r>
      <w:r>
        <w:rPr>
          <w:rFonts w:cs="Arial"/>
          <w:bCs/>
          <w:lang w:val="es-MX"/>
        </w:rPr>
        <w:t>irma recurrente y, en consecuencia, sugirió no hacer lugar al recurso jerárquico. Luego de ello se dio vista de las actuaciones a la recurrente;</w:t>
      </w:r>
    </w:p>
    <w:p w:rsidR="00E90828" w:rsidRDefault="00E90828" w:rsidP="002E3E21">
      <w:pPr>
        <w:spacing w:line="360" w:lineRule="auto"/>
        <w:ind w:firstLine="2835"/>
        <w:jc w:val="both"/>
        <w:rPr>
          <w:rFonts w:cs="Arial"/>
          <w:bCs/>
          <w:lang w:val="es-MX"/>
        </w:rPr>
      </w:pPr>
      <w:r>
        <w:rPr>
          <w:rFonts w:cs="Arial"/>
          <w:b/>
          <w:lang w:val="es-MX"/>
        </w:rPr>
        <w:t>12)</w:t>
      </w:r>
      <w:r w:rsidR="002E3E21">
        <w:rPr>
          <w:rFonts w:cs="Arial"/>
          <w:bCs/>
          <w:lang w:val="es-MX"/>
        </w:rPr>
        <w:t xml:space="preserve"> que A y </w:t>
      </w:r>
      <w:r>
        <w:rPr>
          <w:rFonts w:cs="Arial"/>
          <w:bCs/>
          <w:lang w:val="es-MX"/>
        </w:rPr>
        <w:t>M Santa Lucía, con fecha 25.10.13, evacuó la vista de las actuaciones que le fuera conferida, manifestando que independientemente de la existencia formal o no de la modificación II, del propio texto del Pliego se despre</w:t>
      </w:r>
      <w:r w:rsidR="002E3E21">
        <w:rPr>
          <w:rFonts w:cs="Arial"/>
          <w:bCs/>
          <w:lang w:val="es-MX"/>
        </w:rPr>
        <w:t>nde el deber de cumplir con la L</w:t>
      </w:r>
      <w:r>
        <w:rPr>
          <w:rFonts w:cs="Arial"/>
          <w:bCs/>
          <w:lang w:val="es-MX"/>
        </w:rPr>
        <w:t xml:space="preserve">ey de </w:t>
      </w:r>
      <w:r w:rsidR="00C86FA0">
        <w:rPr>
          <w:rFonts w:cs="Arial"/>
          <w:bCs/>
          <w:lang w:val="es-MX"/>
        </w:rPr>
        <w:t>T</w:t>
      </w:r>
      <w:r>
        <w:rPr>
          <w:rFonts w:cs="Arial"/>
          <w:bCs/>
          <w:lang w:val="es-MX"/>
        </w:rPr>
        <w:t>ercerización y abonar salarios vigentes conforme la normativa imperante, siendo el salario mínimo aplicable el correspondi</w:t>
      </w:r>
      <w:r w:rsidR="00C86FA0">
        <w:rPr>
          <w:rFonts w:cs="Arial"/>
          <w:bCs/>
          <w:lang w:val="es-MX"/>
        </w:rPr>
        <w:t>ente al laudo del Grupo 19, Sub-</w:t>
      </w:r>
      <w:r>
        <w:rPr>
          <w:rFonts w:cs="Arial"/>
          <w:bCs/>
          <w:lang w:val="es-MX"/>
        </w:rPr>
        <w:t xml:space="preserve">Grupo 02. Asimismo, aclaró que nunca adujo que el salario declarado en </w:t>
      </w:r>
      <w:r>
        <w:rPr>
          <w:rFonts w:cs="Arial"/>
          <w:bCs/>
          <w:lang w:val="es-MX"/>
        </w:rPr>
        <w:lastRenderedPageBreak/>
        <w:t>la oferta fuera determinante para la calificación, sino que el salario declarado en la oferta debe cumplir con lo exigido en el Pliego, y por lo tanto, si una oferta no cumple con las disposiciones del mismo, ni con la normativa legal vigente, no puede ser considerada válida</w:t>
      </w:r>
      <w:r w:rsidR="001D360F">
        <w:rPr>
          <w:rFonts w:cs="Arial"/>
          <w:bCs/>
          <w:lang w:val="es-MX"/>
        </w:rPr>
        <w:t>,</w:t>
      </w:r>
      <w:r>
        <w:rPr>
          <w:rFonts w:cs="Arial"/>
          <w:bCs/>
          <w:lang w:val="es-MX"/>
        </w:rPr>
        <w:t xml:space="preserve"> ya que incurre en un apartamiento sustancial;</w:t>
      </w:r>
    </w:p>
    <w:p w:rsidR="00E90828" w:rsidRDefault="00E90828" w:rsidP="002E3E21">
      <w:pPr>
        <w:spacing w:line="360" w:lineRule="auto"/>
        <w:ind w:firstLine="2835"/>
        <w:jc w:val="both"/>
      </w:pPr>
      <w:r>
        <w:rPr>
          <w:rFonts w:cs="Arial"/>
          <w:b/>
          <w:lang w:val="es-MX"/>
        </w:rPr>
        <w:t xml:space="preserve">13) </w:t>
      </w:r>
      <w:r>
        <w:t>que el Directorio, por Resolución R/D 668/14 de fecha 18.06.14., siguió lo aconsejado por sus asesores letrados y dispuso no hacer lugar al recurso jerárquico interpuesto, destacando que, a su criterio, todas las propuestas fueron analizadas y calificadas en pie de igualdad;</w:t>
      </w:r>
    </w:p>
    <w:p w:rsidR="006E0DC9" w:rsidRDefault="00E90828" w:rsidP="002E3E21">
      <w:pPr>
        <w:spacing w:line="360" w:lineRule="auto"/>
        <w:ind w:firstLine="2835"/>
        <w:jc w:val="both"/>
      </w:pPr>
      <w:r>
        <w:rPr>
          <w:b/>
        </w:rPr>
        <w:t>14)</w:t>
      </w:r>
      <w:r>
        <w:t xml:space="preserve"> que el Ministro de Vivienda</w:t>
      </w:r>
      <w:r w:rsidR="001D360F">
        <w:t>,</w:t>
      </w:r>
      <w:r>
        <w:t xml:space="preserve"> Ordenamiento Territorial y Medio Ambiente, por Resolución AD 461/2014 de fecha 26.12.14, dispuso no hacer lugar al recurso de anulación interpuesto, fundamentando su decisión en  que, de acuerdo con lo informado por la División Jurídica del Ministerio el  22.12.14, no surgen vicios de juridicidad que ameriten la revisión de lo actuado en la medida que en todo el procedimiento se actuó conforme a </w:t>
      </w:r>
      <w:r w:rsidR="001D360F">
        <w:t>D</w:t>
      </w:r>
      <w:r>
        <w:t xml:space="preserve">erecho; </w:t>
      </w:r>
    </w:p>
    <w:p w:rsidR="00E90828" w:rsidRDefault="00E90828" w:rsidP="006E0DC9">
      <w:pPr>
        <w:spacing w:line="360" w:lineRule="auto"/>
        <w:ind w:firstLine="851"/>
        <w:jc w:val="both"/>
      </w:pPr>
      <w:r>
        <w:rPr>
          <w:b/>
          <w:bCs/>
        </w:rPr>
        <w:t>CONSIDERANDO:</w:t>
      </w:r>
      <w:r>
        <w:t xml:space="preserve"> </w:t>
      </w:r>
      <w:r>
        <w:rPr>
          <w:b/>
          <w:bCs/>
        </w:rPr>
        <w:t>1)</w:t>
      </w:r>
      <w:r>
        <w:t xml:space="preserve"> que sin perjuicio de que el Pliego de Condiciones Particulares estableció un determinado salario mínimo nominal para el personal contratado, se procedió a la modificación del mismo, no notificándose de ello a los oferentes en tiempo y forma y, asimismo, en la instancia de modificación, notoriamente se padeció erro</w:t>
      </w:r>
      <w:r w:rsidR="001D360F">
        <w:t>r al determinar el Grupo y Sub-</w:t>
      </w:r>
      <w:r>
        <w:t xml:space="preserve">Grupo del Consejo de Salarios que corresponden al </w:t>
      </w:r>
      <w:r w:rsidR="001D360F">
        <w:t>O</w:t>
      </w:r>
      <w:r>
        <w:t xml:space="preserve">bjeto de la presente </w:t>
      </w:r>
      <w:r w:rsidR="001D360F">
        <w:t>L</w:t>
      </w:r>
      <w:r>
        <w:t xml:space="preserve">icitación; </w:t>
      </w:r>
    </w:p>
    <w:p w:rsidR="00E90828" w:rsidRDefault="00E90828" w:rsidP="002E3E21">
      <w:pPr>
        <w:pStyle w:val="Textoindependiente"/>
        <w:ind w:firstLine="2977"/>
      </w:pPr>
      <w:r>
        <w:rPr>
          <w:rFonts w:cs="Times New Roman"/>
          <w:b/>
          <w:lang w:val="es-ES"/>
        </w:rPr>
        <w:t>2)</w:t>
      </w:r>
      <w:r>
        <w:rPr>
          <w:rFonts w:cs="Times New Roman"/>
          <w:bCs w:val="0"/>
          <w:lang w:val="es-ES"/>
        </w:rPr>
        <w:t xml:space="preserve"> </w:t>
      </w:r>
      <w:r>
        <w:t>que en definitiva, la nor</w:t>
      </w:r>
      <w:r w:rsidR="002E3E21">
        <w:t>ma del Pliego referida al ítem Salario del P</w:t>
      </w:r>
      <w:r>
        <w:t>ersonal presentó errores tanto en su versión original como en su versión modificada, por lo que, atento a que dicho ítem será objeto de un control posterior a la adjudicación, la solución adoptada por la</w:t>
      </w:r>
      <w:r w:rsidR="001D360F">
        <w:t xml:space="preserve"> Administración que implicó</w:t>
      </w:r>
      <w:r>
        <w:t xml:space="preserve"> no tenerlo en cuenta al momento de la evaluación de las ofertas, fue ajustada a Derecho y permitió que todas ellas fueran analizadas y calificadas en pie de igualdad;</w:t>
      </w:r>
    </w:p>
    <w:p w:rsidR="00E90828" w:rsidRDefault="00E90828" w:rsidP="002E3E21">
      <w:pPr>
        <w:spacing w:line="360" w:lineRule="auto"/>
        <w:ind w:firstLine="2977"/>
        <w:jc w:val="both"/>
        <w:rPr>
          <w:rFonts w:cs="Arial"/>
          <w:lang w:val="es-MX"/>
        </w:rPr>
      </w:pPr>
      <w:r>
        <w:rPr>
          <w:b/>
          <w:bCs/>
        </w:rPr>
        <w:lastRenderedPageBreak/>
        <w:t>3)</w:t>
      </w:r>
      <w:r>
        <w:rPr>
          <w:rFonts w:cs="Arial"/>
          <w:lang w:val="es-MX"/>
        </w:rPr>
        <w:t xml:space="preserve"> que el Pliego que rigió el </w:t>
      </w:r>
      <w:r w:rsidR="00CD6816">
        <w:rPr>
          <w:rFonts w:cs="Arial"/>
          <w:lang w:val="es-MX"/>
        </w:rPr>
        <w:t>L</w:t>
      </w:r>
      <w:r>
        <w:rPr>
          <w:rFonts w:cs="Arial"/>
          <w:lang w:val="es-MX"/>
        </w:rPr>
        <w:t xml:space="preserve">lamado, en el </w:t>
      </w:r>
      <w:r w:rsidR="002E3E21">
        <w:rPr>
          <w:rFonts w:cs="Arial"/>
          <w:bCs/>
          <w:lang w:val="es-MX"/>
        </w:rPr>
        <w:t>Capítulo III Numeral 16.1 Literal A</w:t>
      </w:r>
      <w:r>
        <w:rPr>
          <w:rFonts w:cs="Arial"/>
          <w:bCs/>
          <w:lang w:val="es-MX"/>
        </w:rPr>
        <w:t>) estableció que: “</w:t>
      </w:r>
      <w:r w:rsidRPr="002E3E21">
        <w:rPr>
          <w:rFonts w:cs="Arial"/>
          <w:bCs/>
          <w:i/>
          <w:lang w:val="es-MX"/>
        </w:rPr>
        <w:t xml:space="preserve">la Administración realizará los controles pertinentes a efectos de verificar que la </w:t>
      </w:r>
      <w:r w:rsidR="00CD6816">
        <w:rPr>
          <w:rFonts w:cs="Arial"/>
          <w:bCs/>
          <w:i/>
          <w:lang w:val="es-MX"/>
        </w:rPr>
        <w:t>F</w:t>
      </w:r>
      <w:r w:rsidRPr="002E3E21">
        <w:rPr>
          <w:rFonts w:cs="Arial"/>
          <w:bCs/>
          <w:i/>
          <w:lang w:val="es-MX"/>
        </w:rPr>
        <w:t>irma adjudicataria cumpla con los salarios vigentes de la rama que corresponde</w:t>
      </w:r>
      <w:r>
        <w:rPr>
          <w:rFonts w:cs="Arial"/>
          <w:bCs/>
          <w:lang w:val="es-MX"/>
        </w:rPr>
        <w:t>”</w:t>
      </w:r>
      <w:r w:rsidR="008F1FB5">
        <w:rPr>
          <w:rFonts w:cs="Arial"/>
          <w:bCs/>
          <w:lang w:val="es-MX"/>
        </w:rPr>
        <w:t>.</w:t>
      </w:r>
      <w:r>
        <w:rPr>
          <w:rFonts w:cs="Arial"/>
          <w:bCs/>
          <w:lang w:val="es-MX"/>
        </w:rPr>
        <w:t xml:space="preserve"> </w:t>
      </w:r>
      <w:r>
        <w:rPr>
          <w:rFonts w:cs="Arial"/>
          <w:lang w:val="es-MX"/>
        </w:rPr>
        <w:t xml:space="preserve"> Esto significa que todas las empresas sabían que tenían que respetar el laudo del Grupo que corresponde al </w:t>
      </w:r>
      <w:r w:rsidR="008F1FB5">
        <w:rPr>
          <w:rFonts w:cs="Arial"/>
          <w:lang w:val="es-MX"/>
        </w:rPr>
        <w:t>O</w:t>
      </w:r>
      <w:r>
        <w:rPr>
          <w:rFonts w:cs="Arial"/>
          <w:lang w:val="es-MX"/>
        </w:rPr>
        <w:t xml:space="preserve">bjeto de la </w:t>
      </w:r>
      <w:r w:rsidR="008F1FB5">
        <w:rPr>
          <w:rFonts w:cs="Arial"/>
          <w:lang w:val="es-MX"/>
        </w:rPr>
        <w:t>L</w:t>
      </w:r>
      <w:r>
        <w:rPr>
          <w:rFonts w:cs="Arial"/>
          <w:lang w:val="es-MX"/>
        </w:rPr>
        <w:t>icitación a la hora de cotizar;</w:t>
      </w:r>
    </w:p>
    <w:p w:rsidR="00E90828" w:rsidRDefault="00E90828" w:rsidP="002E3E21">
      <w:pPr>
        <w:spacing w:line="360" w:lineRule="auto"/>
        <w:ind w:firstLine="2977"/>
        <w:jc w:val="both"/>
        <w:rPr>
          <w:bCs/>
        </w:rPr>
      </w:pPr>
      <w:r>
        <w:rPr>
          <w:b/>
        </w:rPr>
        <w:t>4)</w:t>
      </w:r>
      <w:r>
        <w:rPr>
          <w:bCs/>
        </w:rPr>
        <w:t xml:space="preserve"> que la categoría de trabajadores que corresponde al objeto de la licitación es el Grupo 13 Transporte y </w:t>
      </w:r>
      <w:r w:rsidR="008F1FB5">
        <w:rPr>
          <w:bCs/>
        </w:rPr>
        <w:t>Almacenamiento Sub-</w:t>
      </w:r>
      <w:r>
        <w:rPr>
          <w:bCs/>
        </w:rPr>
        <w:t>Grupo 1</w:t>
      </w:r>
      <w:r w:rsidR="0085191D">
        <w:rPr>
          <w:bCs/>
        </w:rPr>
        <w:t>1 Servicios Logísticos Literal B</w:t>
      </w:r>
      <w:r>
        <w:rPr>
          <w:bCs/>
        </w:rPr>
        <w:t>) Estiba y manipulación de la carga y de la descarga, extremo que fue tenido en cuenta por la adjudicataria, que presentó su oferta económica teniendo en cuenta el laudo del mismo, por lo que la misma cotizó  de acuerdo con la normativa laboral vigente</w:t>
      </w:r>
      <w:r w:rsidR="008F1FB5">
        <w:rPr>
          <w:bCs/>
        </w:rPr>
        <w:t>,</w:t>
      </w:r>
      <w:r>
        <w:rPr>
          <w:bCs/>
        </w:rPr>
        <w:t xml:space="preserve"> y atend</w:t>
      </w:r>
      <w:r w:rsidR="0085191D">
        <w:rPr>
          <w:bCs/>
        </w:rPr>
        <w:t>iendo a lo establecido por el A</w:t>
      </w:r>
      <w:r>
        <w:rPr>
          <w:bCs/>
        </w:rPr>
        <w:t>rtículo del Pliego de Condiciones Particulares referido;</w:t>
      </w:r>
    </w:p>
    <w:p w:rsidR="00E90828" w:rsidRDefault="00E90828" w:rsidP="0085191D">
      <w:pPr>
        <w:pStyle w:val="Textoindependiente2"/>
        <w:ind w:firstLine="2977"/>
        <w:rPr>
          <w:rFonts w:cs="Times New Roman"/>
          <w:b w:val="0"/>
          <w:bCs/>
          <w:lang w:val="es-ES"/>
        </w:rPr>
      </w:pPr>
      <w:r>
        <w:rPr>
          <w:rFonts w:cs="Times New Roman"/>
          <w:lang w:val="es-ES"/>
        </w:rPr>
        <w:t xml:space="preserve">5) </w:t>
      </w:r>
      <w:r>
        <w:rPr>
          <w:rFonts w:cs="Times New Roman"/>
          <w:b w:val="0"/>
          <w:bCs/>
          <w:lang w:val="es-ES"/>
        </w:rPr>
        <w:t>que en tanto la Administración actuó ajustada a Derecho no son de recibo los argumentos esgrimidos por la recurrente;</w:t>
      </w:r>
    </w:p>
    <w:p w:rsidR="00E90828" w:rsidRDefault="00E90828" w:rsidP="0085191D">
      <w:pPr>
        <w:pStyle w:val="Textoindependiente"/>
        <w:ind w:firstLine="2977"/>
      </w:pPr>
      <w:r>
        <w:rPr>
          <w:b/>
          <w:bCs w:val="0"/>
        </w:rPr>
        <w:t xml:space="preserve">6) </w:t>
      </w:r>
      <w:r>
        <w:t>que no obstante, se deberá dejar constancia en el contrato con la adjudicataria cu</w:t>
      </w:r>
      <w:r w:rsidR="008F1FB5">
        <w:t>ál es el Grupo y Sub-</w:t>
      </w:r>
      <w:r>
        <w:t>Grupo de actividad que corresponde al personal contratado, en tanto ello resulta fundamental a efectos de que exista total certeza sobre el punto</w:t>
      </w:r>
      <w:r w:rsidR="008F1FB5">
        <w:t>,</w:t>
      </w:r>
      <w:r>
        <w:t xml:space="preserve"> y sea posible realizar los controles en forma adecuada;</w:t>
      </w:r>
    </w:p>
    <w:p w:rsidR="00E90828" w:rsidRDefault="00E90828" w:rsidP="006E0DC9">
      <w:pPr>
        <w:spacing w:line="360" w:lineRule="auto"/>
        <w:ind w:firstLine="851"/>
        <w:jc w:val="both"/>
        <w:rPr>
          <w:rFonts w:cs="Arial"/>
        </w:rPr>
      </w:pPr>
      <w:r>
        <w:rPr>
          <w:rFonts w:cs="Arial"/>
          <w:b/>
          <w:bCs/>
        </w:rPr>
        <w:t xml:space="preserve">ATENTO: </w:t>
      </w:r>
      <w:r>
        <w:rPr>
          <w:rFonts w:cs="Arial"/>
        </w:rPr>
        <w:t>a lo dispuesto por el  Artículo 211 Literal B) de la Constitución de la República;</w:t>
      </w:r>
    </w:p>
    <w:p w:rsidR="00E90828" w:rsidRDefault="00E90828" w:rsidP="00E90828">
      <w:pPr>
        <w:pStyle w:val="Ttulo1"/>
        <w:jc w:val="center"/>
      </w:pPr>
      <w:r>
        <w:t>EL TRIBUNAL ACUERDA</w:t>
      </w:r>
    </w:p>
    <w:p w:rsidR="00E90828" w:rsidRDefault="00E90828" w:rsidP="00E90828">
      <w:pPr>
        <w:numPr>
          <w:ilvl w:val="0"/>
          <w:numId w:val="1"/>
        </w:numPr>
        <w:spacing w:line="360" w:lineRule="auto"/>
        <w:jc w:val="both"/>
        <w:rPr>
          <w:rFonts w:cs="Arial"/>
          <w:lang w:val="es-MX"/>
        </w:rPr>
      </w:pPr>
      <w:r>
        <w:rPr>
          <w:rFonts w:cs="Arial"/>
          <w:lang w:val="es-MX"/>
        </w:rPr>
        <w:t>Expedirse en los términos del Considerando 5);</w:t>
      </w:r>
    </w:p>
    <w:p w:rsidR="00E90828" w:rsidRDefault="00E90828" w:rsidP="00E90828">
      <w:pPr>
        <w:numPr>
          <w:ilvl w:val="0"/>
          <w:numId w:val="1"/>
        </w:numPr>
        <w:spacing w:line="360" w:lineRule="auto"/>
        <w:jc w:val="both"/>
        <w:rPr>
          <w:rFonts w:cs="Arial"/>
          <w:lang w:val="es-MX"/>
        </w:rPr>
      </w:pPr>
      <w:r>
        <w:rPr>
          <w:rFonts w:cs="Arial"/>
          <w:lang w:val="es-MX"/>
        </w:rPr>
        <w:t>Comunicar a la Contadora Delegada</w:t>
      </w:r>
      <w:r w:rsidR="008F1FB5">
        <w:rPr>
          <w:rFonts w:cs="Arial"/>
          <w:lang w:val="es-MX"/>
        </w:rPr>
        <w:t>;</w:t>
      </w:r>
      <w:r w:rsidR="006E0DC9">
        <w:rPr>
          <w:rFonts w:cs="Arial"/>
          <w:lang w:val="es-MX"/>
        </w:rPr>
        <w:t xml:space="preserve"> y</w:t>
      </w:r>
    </w:p>
    <w:p w:rsidR="00E90828" w:rsidRDefault="00E90828" w:rsidP="00E90828">
      <w:pPr>
        <w:numPr>
          <w:ilvl w:val="0"/>
          <w:numId w:val="1"/>
        </w:numPr>
        <w:spacing w:line="360" w:lineRule="auto"/>
        <w:jc w:val="both"/>
        <w:rPr>
          <w:rFonts w:cs="Arial"/>
          <w:lang w:val="es-MX"/>
        </w:rPr>
      </w:pPr>
      <w:r>
        <w:rPr>
          <w:rFonts w:cs="Arial"/>
          <w:lang w:val="es-MX"/>
        </w:rPr>
        <w:t>Devolver las actuaciones</w:t>
      </w:r>
      <w:r w:rsidR="006E0DC9">
        <w:rPr>
          <w:rFonts w:cs="Arial"/>
          <w:lang w:val="es-MX"/>
        </w:rPr>
        <w:t>.</w:t>
      </w:r>
    </w:p>
    <w:p w:rsidR="006E0DC9" w:rsidRDefault="006E0DC9" w:rsidP="006E0DC9">
      <w:pPr>
        <w:spacing w:line="360" w:lineRule="auto"/>
        <w:ind w:left="720"/>
        <w:jc w:val="both"/>
        <w:rPr>
          <w:rFonts w:cs="Arial"/>
          <w:lang w:val="es-MX"/>
        </w:rPr>
      </w:pPr>
    </w:p>
    <w:p w:rsidR="006E0DC9" w:rsidRDefault="006E0DC9" w:rsidP="006E0DC9">
      <w:pPr>
        <w:spacing w:line="360" w:lineRule="auto"/>
        <w:ind w:left="720"/>
        <w:jc w:val="both"/>
        <w:rPr>
          <w:rFonts w:cs="Arial"/>
          <w:lang w:val="es-MX"/>
        </w:rPr>
      </w:pPr>
    </w:p>
    <w:p w:rsidR="006E0DC9" w:rsidRDefault="006E0DC9" w:rsidP="006E0DC9">
      <w:pPr>
        <w:spacing w:line="360" w:lineRule="auto"/>
        <w:ind w:left="720"/>
        <w:jc w:val="both"/>
        <w:rPr>
          <w:rFonts w:cs="Arial"/>
          <w:lang w:val="es-MX"/>
        </w:rPr>
      </w:pPr>
      <w:r>
        <w:rPr>
          <w:rFonts w:cs="Arial"/>
          <w:lang w:val="es-MX"/>
        </w:rPr>
        <w:lastRenderedPageBreak/>
        <w:t>mp</w:t>
      </w:r>
    </w:p>
    <w:p w:rsidR="002E3E21" w:rsidRDefault="002E3E21"/>
    <w:sectPr w:rsidR="002E3E21" w:rsidSect="00B4541D">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816" w:rsidRDefault="00CD6816" w:rsidP="006E0DC9">
      <w:r>
        <w:separator/>
      </w:r>
    </w:p>
  </w:endnote>
  <w:endnote w:type="continuationSeparator" w:id="0">
    <w:p w:rsidR="00CD6816" w:rsidRDefault="00CD6816" w:rsidP="006E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228639"/>
      <w:docPartObj>
        <w:docPartGallery w:val="Page Numbers (Bottom of Page)"/>
        <w:docPartUnique/>
      </w:docPartObj>
    </w:sdtPr>
    <w:sdtContent>
      <w:p w:rsidR="00CD6816" w:rsidRDefault="00CD6816">
        <w:pPr>
          <w:pStyle w:val="Piedepgina"/>
          <w:jc w:val="center"/>
        </w:pPr>
        <w:r>
          <w:fldChar w:fldCharType="begin"/>
        </w:r>
        <w:r>
          <w:instrText>PAGE   \* MERGEFORMAT</w:instrText>
        </w:r>
        <w:r>
          <w:fldChar w:fldCharType="separate"/>
        </w:r>
        <w:r w:rsidR="00B4541D">
          <w:rPr>
            <w:noProof/>
          </w:rPr>
          <w:t>1</w:t>
        </w:r>
        <w:r>
          <w:fldChar w:fldCharType="end"/>
        </w:r>
      </w:p>
    </w:sdtContent>
  </w:sdt>
  <w:p w:rsidR="00CD6816" w:rsidRDefault="00CD68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816" w:rsidRDefault="00CD6816" w:rsidP="006E0DC9">
      <w:r>
        <w:separator/>
      </w:r>
    </w:p>
  </w:footnote>
  <w:footnote w:type="continuationSeparator" w:id="0">
    <w:p w:rsidR="00CD6816" w:rsidRDefault="00CD6816" w:rsidP="006E0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22CD4"/>
    <w:multiLevelType w:val="hybridMultilevel"/>
    <w:tmpl w:val="1D2EE238"/>
    <w:lvl w:ilvl="0" w:tplc="30184E9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828"/>
    <w:rsid w:val="000F1815"/>
    <w:rsid w:val="00112E3E"/>
    <w:rsid w:val="00125FD1"/>
    <w:rsid w:val="001D360F"/>
    <w:rsid w:val="001E717A"/>
    <w:rsid w:val="002E3E21"/>
    <w:rsid w:val="005E1534"/>
    <w:rsid w:val="006E0DC9"/>
    <w:rsid w:val="0085191D"/>
    <w:rsid w:val="008B5DAD"/>
    <w:rsid w:val="008F1FB5"/>
    <w:rsid w:val="00B4541D"/>
    <w:rsid w:val="00BC28EB"/>
    <w:rsid w:val="00C7497A"/>
    <w:rsid w:val="00C86FA0"/>
    <w:rsid w:val="00CD6816"/>
    <w:rsid w:val="00DE7F9A"/>
    <w:rsid w:val="00E90828"/>
    <w:rsid w:val="00EC5B60"/>
    <w:rsid w:val="00F56E5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28"/>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E90828"/>
    <w:pPr>
      <w:keepNext/>
      <w:spacing w:line="360" w:lineRule="auto"/>
      <w:jc w:val="both"/>
      <w:outlineLvl w:val="0"/>
    </w:pPr>
    <w:rPr>
      <w:rFonts w:cs="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0828"/>
    <w:rPr>
      <w:rFonts w:ascii="Arial" w:eastAsia="Times New Roman" w:hAnsi="Arial" w:cs="Arial"/>
      <w:b/>
      <w:sz w:val="24"/>
      <w:szCs w:val="20"/>
      <w:lang w:val="es-MX" w:eastAsia="es-ES"/>
    </w:rPr>
  </w:style>
  <w:style w:type="paragraph" w:styleId="Textoindependiente">
    <w:name w:val="Body Text"/>
    <w:basedOn w:val="Normal"/>
    <w:link w:val="TextoindependienteCar"/>
    <w:semiHidden/>
    <w:rsid w:val="00E90828"/>
    <w:pPr>
      <w:spacing w:line="360" w:lineRule="auto"/>
      <w:jc w:val="both"/>
    </w:pPr>
    <w:rPr>
      <w:rFonts w:cs="Arial"/>
      <w:bCs/>
      <w:lang w:val="es-MX"/>
    </w:rPr>
  </w:style>
  <w:style w:type="character" w:customStyle="1" w:styleId="TextoindependienteCar">
    <w:name w:val="Texto independiente Car"/>
    <w:basedOn w:val="Fuentedeprrafopredeter"/>
    <w:link w:val="Textoindependiente"/>
    <w:semiHidden/>
    <w:rsid w:val="00E90828"/>
    <w:rPr>
      <w:rFonts w:ascii="Arial" w:eastAsia="Times New Roman" w:hAnsi="Arial" w:cs="Arial"/>
      <w:bCs/>
      <w:sz w:val="24"/>
      <w:szCs w:val="20"/>
      <w:lang w:val="es-MX" w:eastAsia="es-ES"/>
    </w:rPr>
  </w:style>
  <w:style w:type="paragraph" w:styleId="Textoindependiente2">
    <w:name w:val="Body Text 2"/>
    <w:basedOn w:val="Normal"/>
    <w:link w:val="Textoindependiente2Car"/>
    <w:semiHidden/>
    <w:rsid w:val="00E90828"/>
    <w:pPr>
      <w:spacing w:line="360" w:lineRule="auto"/>
      <w:jc w:val="both"/>
    </w:pPr>
    <w:rPr>
      <w:rFonts w:cs="Arial"/>
      <w:b/>
      <w:lang w:val="es-MX"/>
    </w:rPr>
  </w:style>
  <w:style w:type="character" w:customStyle="1" w:styleId="Textoindependiente2Car">
    <w:name w:val="Texto independiente 2 Car"/>
    <w:basedOn w:val="Fuentedeprrafopredeter"/>
    <w:link w:val="Textoindependiente2"/>
    <w:semiHidden/>
    <w:rsid w:val="00E90828"/>
    <w:rPr>
      <w:rFonts w:ascii="Arial" w:eastAsia="Times New Roman" w:hAnsi="Arial" w:cs="Arial"/>
      <w:b/>
      <w:sz w:val="24"/>
      <w:szCs w:val="20"/>
      <w:lang w:val="es-MX" w:eastAsia="es-ES"/>
    </w:rPr>
  </w:style>
  <w:style w:type="paragraph" w:styleId="Encabezado">
    <w:name w:val="header"/>
    <w:basedOn w:val="Normal"/>
    <w:link w:val="EncabezadoCar"/>
    <w:uiPriority w:val="99"/>
    <w:unhideWhenUsed/>
    <w:rsid w:val="006E0DC9"/>
    <w:pPr>
      <w:tabs>
        <w:tab w:val="center" w:pos="4252"/>
        <w:tab w:val="right" w:pos="8504"/>
      </w:tabs>
    </w:pPr>
  </w:style>
  <w:style w:type="character" w:customStyle="1" w:styleId="EncabezadoCar">
    <w:name w:val="Encabezado Car"/>
    <w:basedOn w:val="Fuentedeprrafopredeter"/>
    <w:link w:val="Encabezado"/>
    <w:uiPriority w:val="99"/>
    <w:rsid w:val="006E0DC9"/>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6E0DC9"/>
    <w:pPr>
      <w:tabs>
        <w:tab w:val="center" w:pos="4252"/>
        <w:tab w:val="right" w:pos="8504"/>
      </w:tabs>
    </w:pPr>
  </w:style>
  <w:style w:type="character" w:customStyle="1" w:styleId="PiedepginaCar">
    <w:name w:val="Pie de página Car"/>
    <w:basedOn w:val="Fuentedeprrafopredeter"/>
    <w:link w:val="Piedepgina"/>
    <w:uiPriority w:val="99"/>
    <w:rsid w:val="006E0DC9"/>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B4541D"/>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41D"/>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28"/>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E90828"/>
    <w:pPr>
      <w:keepNext/>
      <w:spacing w:line="360" w:lineRule="auto"/>
      <w:jc w:val="both"/>
      <w:outlineLvl w:val="0"/>
    </w:pPr>
    <w:rPr>
      <w:rFonts w:cs="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0828"/>
    <w:rPr>
      <w:rFonts w:ascii="Arial" w:eastAsia="Times New Roman" w:hAnsi="Arial" w:cs="Arial"/>
      <w:b/>
      <w:sz w:val="24"/>
      <w:szCs w:val="20"/>
      <w:lang w:val="es-MX" w:eastAsia="es-ES"/>
    </w:rPr>
  </w:style>
  <w:style w:type="paragraph" w:styleId="Textoindependiente">
    <w:name w:val="Body Text"/>
    <w:basedOn w:val="Normal"/>
    <w:link w:val="TextoindependienteCar"/>
    <w:semiHidden/>
    <w:rsid w:val="00E90828"/>
    <w:pPr>
      <w:spacing w:line="360" w:lineRule="auto"/>
      <w:jc w:val="both"/>
    </w:pPr>
    <w:rPr>
      <w:rFonts w:cs="Arial"/>
      <w:bCs/>
      <w:lang w:val="es-MX"/>
    </w:rPr>
  </w:style>
  <w:style w:type="character" w:customStyle="1" w:styleId="TextoindependienteCar">
    <w:name w:val="Texto independiente Car"/>
    <w:basedOn w:val="Fuentedeprrafopredeter"/>
    <w:link w:val="Textoindependiente"/>
    <w:semiHidden/>
    <w:rsid w:val="00E90828"/>
    <w:rPr>
      <w:rFonts w:ascii="Arial" w:eastAsia="Times New Roman" w:hAnsi="Arial" w:cs="Arial"/>
      <w:bCs/>
      <w:sz w:val="24"/>
      <w:szCs w:val="20"/>
      <w:lang w:val="es-MX" w:eastAsia="es-ES"/>
    </w:rPr>
  </w:style>
  <w:style w:type="paragraph" w:styleId="Textoindependiente2">
    <w:name w:val="Body Text 2"/>
    <w:basedOn w:val="Normal"/>
    <w:link w:val="Textoindependiente2Car"/>
    <w:semiHidden/>
    <w:rsid w:val="00E90828"/>
    <w:pPr>
      <w:spacing w:line="360" w:lineRule="auto"/>
      <w:jc w:val="both"/>
    </w:pPr>
    <w:rPr>
      <w:rFonts w:cs="Arial"/>
      <w:b/>
      <w:lang w:val="es-MX"/>
    </w:rPr>
  </w:style>
  <w:style w:type="character" w:customStyle="1" w:styleId="Textoindependiente2Car">
    <w:name w:val="Texto independiente 2 Car"/>
    <w:basedOn w:val="Fuentedeprrafopredeter"/>
    <w:link w:val="Textoindependiente2"/>
    <w:semiHidden/>
    <w:rsid w:val="00E90828"/>
    <w:rPr>
      <w:rFonts w:ascii="Arial" w:eastAsia="Times New Roman" w:hAnsi="Arial" w:cs="Arial"/>
      <w:b/>
      <w:sz w:val="24"/>
      <w:szCs w:val="20"/>
      <w:lang w:val="es-MX" w:eastAsia="es-ES"/>
    </w:rPr>
  </w:style>
  <w:style w:type="paragraph" w:styleId="Encabezado">
    <w:name w:val="header"/>
    <w:basedOn w:val="Normal"/>
    <w:link w:val="EncabezadoCar"/>
    <w:uiPriority w:val="99"/>
    <w:unhideWhenUsed/>
    <w:rsid w:val="006E0DC9"/>
    <w:pPr>
      <w:tabs>
        <w:tab w:val="center" w:pos="4252"/>
        <w:tab w:val="right" w:pos="8504"/>
      </w:tabs>
    </w:pPr>
  </w:style>
  <w:style w:type="character" w:customStyle="1" w:styleId="EncabezadoCar">
    <w:name w:val="Encabezado Car"/>
    <w:basedOn w:val="Fuentedeprrafopredeter"/>
    <w:link w:val="Encabezado"/>
    <w:uiPriority w:val="99"/>
    <w:rsid w:val="006E0DC9"/>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6E0DC9"/>
    <w:pPr>
      <w:tabs>
        <w:tab w:val="center" w:pos="4252"/>
        <w:tab w:val="right" w:pos="8504"/>
      </w:tabs>
    </w:pPr>
  </w:style>
  <w:style w:type="character" w:customStyle="1" w:styleId="PiedepginaCar">
    <w:name w:val="Pie de página Car"/>
    <w:basedOn w:val="Fuentedeprrafopredeter"/>
    <w:link w:val="Piedepgina"/>
    <w:uiPriority w:val="99"/>
    <w:rsid w:val="006E0DC9"/>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B4541D"/>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41D"/>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1967</Words>
  <Characters>10824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12766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Tribunal1</cp:lastModifiedBy>
  <cp:revision>19</cp:revision>
  <cp:lastPrinted>2015-05-11T18:40:00Z</cp:lastPrinted>
  <dcterms:created xsi:type="dcterms:W3CDTF">2015-05-11T13:05:00Z</dcterms:created>
  <dcterms:modified xsi:type="dcterms:W3CDTF">2015-05-11T18:40:00Z</dcterms:modified>
</cp:coreProperties>
</file>