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CD" w:rsidRPr="00A22ACD" w:rsidRDefault="00A22AC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22ACD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A22ACD" w:rsidRPr="00A22ACD" w:rsidRDefault="00A22ACD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22ACD" w:rsidRPr="00A22ACD" w:rsidRDefault="00A22AC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22ACD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A22ACD" w:rsidRPr="00A22ACD" w:rsidRDefault="00A22ACD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22ACD" w:rsidRPr="00A22ACD" w:rsidRDefault="00A22AC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22ACD">
        <w:rPr>
          <w:rFonts w:ascii="Helvetica" w:hAnsi="Helvetica"/>
          <w:b/>
          <w:sz w:val="24"/>
          <w:szCs w:val="24"/>
          <w:lang w:val="es-ES_tradnl"/>
        </w:rPr>
        <w:t>EN SESION DE FECHA  22  DE ABRIL DE 2015</w:t>
      </w:r>
    </w:p>
    <w:p w:rsidR="00A22ACD" w:rsidRPr="00A22ACD" w:rsidRDefault="00A22AC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22ACD" w:rsidRPr="00A22ACD" w:rsidRDefault="00A22ACD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A22ACD">
        <w:rPr>
          <w:rFonts w:ascii="Helvetica" w:hAnsi="Helvetica"/>
          <w:b/>
          <w:sz w:val="24"/>
          <w:szCs w:val="24"/>
          <w:lang w:val="es-UY"/>
        </w:rPr>
        <w:t xml:space="preserve">(E. E. Nº 2015-17-1-0002160, </w:t>
      </w:r>
      <w:proofErr w:type="spellStart"/>
      <w:r w:rsidRPr="00A22ACD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A22ACD">
        <w:rPr>
          <w:rFonts w:ascii="Helvetica" w:hAnsi="Helvetica"/>
          <w:b/>
          <w:sz w:val="24"/>
          <w:szCs w:val="24"/>
          <w:lang w:val="es-UY"/>
        </w:rPr>
        <w:t>. N° 1789/15)</w:t>
      </w:r>
    </w:p>
    <w:p w:rsidR="00A22ACD" w:rsidRPr="00A22ACD" w:rsidRDefault="00A22AC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sz w:val="24"/>
          <w:szCs w:val="24"/>
          <w:lang w:val="es-UY"/>
        </w:rPr>
      </w:pPr>
    </w:p>
    <w:p w:rsidR="00A22ACD" w:rsidRPr="00A22ACD" w:rsidRDefault="00A22ACD">
      <w:pPr>
        <w:tabs>
          <w:tab w:val="center" w:pos="4253"/>
        </w:tabs>
        <w:suppressAutoHyphens/>
        <w:rPr>
          <w:rFonts w:ascii="Arial" w:hAnsi="Arial"/>
          <w:spacing w:val="-3"/>
          <w:sz w:val="24"/>
          <w:szCs w:val="24"/>
          <w:lang w:val="es-UY"/>
        </w:rPr>
      </w:pPr>
    </w:p>
    <w:p w:rsidR="00A22ACD" w:rsidRDefault="00263755" w:rsidP="00A22ACD">
      <w:pPr>
        <w:spacing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VISTO: </w:t>
      </w:r>
      <w:r>
        <w:rPr>
          <w:rFonts w:ascii="Arial" w:hAnsi="Arial" w:cs="Arial"/>
          <w:sz w:val="24"/>
          <w:lang w:val="es-MX"/>
        </w:rPr>
        <w:t>la Nota del Poder Ejecutivo de fecha 27 de marzo de 2015 relacionada con la designación del Dr. Jorge Luis Gamarra como Director del Banco Central del Uruguay (BCU);</w:t>
      </w:r>
    </w:p>
    <w:p w:rsidR="00A22ACD" w:rsidRDefault="00263755" w:rsidP="00A22ACD">
      <w:pPr>
        <w:spacing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RESULTANDO: 1)</w:t>
      </w:r>
      <w:r>
        <w:rPr>
          <w:rFonts w:ascii="Arial" w:hAnsi="Arial" w:cs="Arial"/>
          <w:sz w:val="24"/>
          <w:lang w:val="es-MX"/>
        </w:rPr>
        <w:t xml:space="preserve"> que en la misma se pone en conocimiento de este Tribunal, que el Poder Ejecutivo se propone designar </w:t>
      </w:r>
      <w:r w:rsidR="00790A1E">
        <w:rPr>
          <w:rFonts w:ascii="Arial" w:hAnsi="Arial" w:cs="Arial"/>
          <w:sz w:val="24"/>
          <w:lang w:val="es-MX"/>
        </w:rPr>
        <w:t xml:space="preserve">al Dr. Jorge Luis Gamarra </w:t>
      </w:r>
      <w:r>
        <w:rPr>
          <w:rFonts w:ascii="Arial" w:hAnsi="Arial" w:cs="Arial"/>
          <w:sz w:val="24"/>
          <w:lang w:val="es-MX"/>
        </w:rPr>
        <w:t xml:space="preserve">- previa venia de la Cámara de Senadores - </w:t>
      </w:r>
      <w:r w:rsidR="00790A1E">
        <w:rPr>
          <w:rFonts w:ascii="Arial" w:hAnsi="Arial" w:cs="Arial"/>
          <w:sz w:val="24"/>
          <w:lang w:val="es-MX"/>
        </w:rPr>
        <w:t>como</w:t>
      </w:r>
      <w:r>
        <w:rPr>
          <w:rFonts w:ascii="Arial" w:hAnsi="Arial" w:cs="Arial"/>
          <w:sz w:val="24"/>
          <w:lang w:val="es-MX"/>
        </w:rPr>
        <w:t xml:space="preserve"> Vicepresidente del Directorio del Banco Central del Uruguay</w:t>
      </w:r>
      <w:r w:rsidR="00790A1E">
        <w:rPr>
          <w:rFonts w:ascii="Arial" w:hAnsi="Arial" w:cs="Arial"/>
          <w:sz w:val="24"/>
          <w:lang w:val="es-MX"/>
        </w:rPr>
        <w:t xml:space="preserve"> (BCU)</w:t>
      </w:r>
      <w:r>
        <w:rPr>
          <w:rFonts w:ascii="Arial" w:hAnsi="Arial" w:cs="Arial"/>
          <w:sz w:val="24"/>
          <w:lang w:val="es-MX"/>
        </w:rPr>
        <w:t>;</w:t>
      </w:r>
    </w:p>
    <w:p w:rsidR="00263755" w:rsidRDefault="00263755" w:rsidP="00A22ACD">
      <w:pPr>
        <w:spacing w:line="360" w:lineRule="auto"/>
        <w:ind w:firstLine="2694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2) </w:t>
      </w:r>
      <w:r>
        <w:rPr>
          <w:rFonts w:ascii="Arial" w:hAnsi="Arial" w:cs="Arial"/>
          <w:sz w:val="24"/>
          <w:lang w:val="es-MX"/>
        </w:rPr>
        <w:t>que</w:t>
      </w:r>
      <w:r w:rsidR="00790A1E">
        <w:rPr>
          <w:rFonts w:ascii="Arial" w:hAnsi="Arial" w:cs="Arial"/>
          <w:sz w:val="24"/>
          <w:lang w:val="es-MX"/>
        </w:rPr>
        <w:t>,</w:t>
      </w:r>
      <w:r>
        <w:rPr>
          <w:rFonts w:ascii="Arial" w:hAnsi="Arial" w:cs="Arial"/>
          <w:sz w:val="24"/>
          <w:lang w:val="es-MX"/>
        </w:rPr>
        <w:t xml:space="preserve"> conforme a ello</w:t>
      </w:r>
      <w:r w:rsidR="00790A1E">
        <w:rPr>
          <w:rFonts w:ascii="Arial" w:hAnsi="Arial" w:cs="Arial"/>
          <w:sz w:val="24"/>
          <w:lang w:val="es-MX"/>
        </w:rPr>
        <w:t>, se solicita a este Tribunal</w:t>
      </w:r>
      <w:r>
        <w:rPr>
          <w:rFonts w:ascii="Arial" w:hAnsi="Arial" w:cs="Arial"/>
          <w:sz w:val="24"/>
          <w:lang w:val="es-MX"/>
        </w:rPr>
        <w:t xml:space="preserve"> que</w:t>
      </w:r>
      <w:r w:rsidR="00790A1E">
        <w:rPr>
          <w:rFonts w:ascii="Arial" w:hAnsi="Arial" w:cs="Arial"/>
          <w:sz w:val="24"/>
          <w:lang w:val="es-MX"/>
        </w:rPr>
        <w:t>,</w:t>
      </w:r>
      <w:r>
        <w:rPr>
          <w:rFonts w:ascii="Arial" w:hAnsi="Arial" w:cs="Arial"/>
          <w:sz w:val="24"/>
          <w:lang w:val="es-MX"/>
        </w:rPr>
        <w:t xml:space="preserve"> de conf</w:t>
      </w:r>
      <w:r w:rsidR="00A22ACD">
        <w:rPr>
          <w:rFonts w:ascii="Arial" w:hAnsi="Arial" w:cs="Arial"/>
          <w:sz w:val="24"/>
          <w:lang w:val="es-MX"/>
        </w:rPr>
        <w:t>ormidad con lo dispuesto en el Inciso final del Artículo</w:t>
      </w:r>
      <w:r>
        <w:rPr>
          <w:rFonts w:ascii="Arial" w:hAnsi="Arial" w:cs="Arial"/>
          <w:sz w:val="24"/>
          <w:lang w:val="es-MX"/>
        </w:rPr>
        <w:t xml:space="preserve"> 192 de la Constitución de la República, informe si la gestión de</w:t>
      </w:r>
      <w:r w:rsidR="00790A1E">
        <w:rPr>
          <w:rFonts w:ascii="Arial" w:hAnsi="Arial" w:cs="Arial"/>
          <w:sz w:val="24"/>
          <w:lang w:val="es-MX"/>
        </w:rPr>
        <w:t>l</w:t>
      </w:r>
      <w:r>
        <w:rPr>
          <w:rFonts w:ascii="Arial" w:hAnsi="Arial" w:cs="Arial"/>
          <w:sz w:val="24"/>
          <w:lang w:val="es-MX"/>
        </w:rPr>
        <w:t xml:space="preserve"> mencionad</w:t>
      </w:r>
      <w:r w:rsidR="00790A1E">
        <w:rPr>
          <w:rFonts w:ascii="Arial" w:hAnsi="Arial" w:cs="Arial"/>
          <w:sz w:val="24"/>
          <w:lang w:val="es-MX"/>
        </w:rPr>
        <w:t>o profesional en el actual</w:t>
      </w:r>
      <w:r>
        <w:rPr>
          <w:rFonts w:ascii="Arial" w:hAnsi="Arial" w:cs="Arial"/>
          <w:sz w:val="24"/>
          <w:lang w:val="es-MX"/>
        </w:rPr>
        <w:t xml:space="preserve"> en el Directorio del Banco Central del Uruguay (BCU), ha sido observada por este Tribunal;</w:t>
      </w:r>
    </w:p>
    <w:p w:rsidR="00A22ACD" w:rsidRDefault="00263755" w:rsidP="00A22ACD">
      <w:pPr>
        <w:spacing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CONSIDERANDO: 1) </w:t>
      </w:r>
      <w:r>
        <w:rPr>
          <w:rFonts w:ascii="Arial" w:hAnsi="Arial" w:cs="Arial"/>
          <w:sz w:val="24"/>
          <w:lang w:val="es-MX"/>
        </w:rPr>
        <w:t>que</w:t>
      </w:r>
      <w:r w:rsidR="00790A1E">
        <w:rPr>
          <w:rFonts w:ascii="Arial" w:hAnsi="Arial" w:cs="Arial"/>
          <w:sz w:val="24"/>
          <w:lang w:val="es-MX"/>
        </w:rPr>
        <w:t>,</w:t>
      </w:r>
      <w:r w:rsidR="00A22ACD">
        <w:rPr>
          <w:rFonts w:ascii="Arial" w:hAnsi="Arial" w:cs="Arial"/>
          <w:sz w:val="24"/>
          <w:lang w:val="es-MX"/>
        </w:rPr>
        <w:t xml:space="preserve"> conforme con el</w:t>
      </w:r>
      <w:r>
        <w:rPr>
          <w:rFonts w:ascii="Arial" w:hAnsi="Arial" w:cs="Arial"/>
          <w:sz w:val="24"/>
          <w:lang w:val="es-MX"/>
        </w:rPr>
        <w:t xml:space="preserve"> precepto constitucional invocado, los miembros de los Directorios o Directores Generales de los Entes Autónomos y Servicios Descentralizados “podrán ser reelectos o designados para otro Directorio o Dirección General siempre que su gestión no haya merecido observación del Tribunal de Cuentas, emitida por lo me</w:t>
      </w:r>
      <w:r w:rsidR="00A22ACD">
        <w:rPr>
          <w:rFonts w:ascii="Arial" w:hAnsi="Arial" w:cs="Arial"/>
          <w:sz w:val="24"/>
          <w:lang w:val="es-MX"/>
        </w:rPr>
        <w:t>nos por cuatro votos conformes”;</w:t>
      </w:r>
    </w:p>
    <w:p w:rsidR="00A22ACD" w:rsidRDefault="00263755" w:rsidP="00A22ACD">
      <w:pPr>
        <w:spacing w:line="360" w:lineRule="auto"/>
        <w:ind w:firstLine="2977"/>
        <w:jc w:val="both"/>
        <w:rPr>
          <w:rFonts w:ascii="Arial" w:hAnsi="Arial" w:cs="Arial"/>
          <w:sz w:val="24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s-MX"/>
        </w:rPr>
        <w:t xml:space="preserve">2) </w:t>
      </w:r>
      <w:r>
        <w:rPr>
          <w:rFonts w:ascii="Arial" w:hAnsi="Arial" w:cs="Arial"/>
          <w:sz w:val="24"/>
          <w:lang w:val="es-MX"/>
        </w:rPr>
        <w:t>que dicho pronunciamiento refiere específicamente a la gesti</w:t>
      </w:r>
      <w:r w:rsidR="00A22ACD">
        <w:rPr>
          <w:rFonts w:ascii="Arial" w:hAnsi="Arial" w:cs="Arial"/>
          <w:sz w:val="24"/>
          <w:lang w:val="es-MX"/>
        </w:rPr>
        <w:t>ón personal de los Directores (Artículo 211 L</w:t>
      </w:r>
      <w:r>
        <w:rPr>
          <w:rFonts w:ascii="Arial" w:hAnsi="Arial" w:cs="Arial"/>
          <w:sz w:val="24"/>
          <w:lang w:val="es-MX"/>
        </w:rPr>
        <w:t>it</w:t>
      </w:r>
      <w:r w:rsidR="00A22ACD">
        <w:rPr>
          <w:rFonts w:ascii="Arial" w:hAnsi="Arial" w:cs="Arial"/>
          <w:sz w:val="24"/>
          <w:lang w:val="es-MX"/>
        </w:rPr>
        <w:t>eral</w:t>
      </w:r>
      <w:r>
        <w:rPr>
          <w:rFonts w:ascii="Arial" w:hAnsi="Arial" w:cs="Arial"/>
          <w:sz w:val="24"/>
          <w:lang w:val="es-MX"/>
        </w:rPr>
        <w:t xml:space="preserve"> C) y no a los gasto</w:t>
      </w:r>
      <w:r w:rsidR="00A22ACD">
        <w:rPr>
          <w:rFonts w:ascii="Arial" w:hAnsi="Arial" w:cs="Arial"/>
          <w:sz w:val="24"/>
          <w:lang w:val="es-MX"/>
        </w:rPr>
        <w:t>s y pagos efectuados por el Ent</w:t>
      </w:r>
      <w:r>
        <w:rPr>
          <w:rFonts w:ascii="Arial" w:hAnsi="Arial" w:cs="Arial"/>
          <w:sz w:val="24"/>
          <w:lang w:val="es-MX"/>
        </w:rPr>
        <w:t>e respectivo;</w:t>
      </w:r>
    </w:p>
    <w:p w:rsidR="00263755" w:rsidRDefault="00263755" w:rsidP="00A22ACD">
      <w:pPr>
        <w:spacing w:line="360" w:lineRule="auto"/>
        <w:ind w:firstLine="2977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bCs/>
          <w:sz w:val="24"/>
          <w:lang w:val="es-MX"/>
        </w:rPr>
        <w:t xml:space="preserve">3) </w:t>
      </w:r>
      <w:r>
        <w:rPr>
          <w:rFonts w:ascii="Arial" w:hAnsi="Arial" w:cs="Arial"/>
          <w:sz w:val="24"/>
          <w:lang w:val="es-MX"/>
        </w:rPr>
        <w:t>que la presente</w:t>
      </w:r>
      <w:r w:rsidR="00A22ACD">
        <w:rPr>
          <w:rFonts w:ascii="Arial" w:hAnsi="Arial" w:cs="Arial"/>
          <w:sz w:val="24"/>
          <w:lang w:val="es-MX"/>
        </w:rPr>
        <w:t xml:space="preserve"> Resolución se adopta con el </w:t>
      </w:r>
      <w:proofErr w:type="spellStart"/>
      <w:r w:rsidR="00A22ACD">
        <w:rPr>
          <w:rFonts w:ascii="Arial" w:hAnsi="Arial" w:cs="Arial"/>
          <w:sz w:val="24"/>
          <w:lang w:val="es-MX"/>
        </w:rPr>
        <w:t>quo</w:t>
      </w:r>
      <w:r>
        <w:rPr>
          <w:rFonts w:ascii="Arial" w:hAnsi="Arial" w:cs="Arial"/>
          <w:sz w:val="24"/>
          <w:lang w:val="es-MX"/>
        </w:rPr>
        <w:t>rum</w:t>
      </w:r>
      <w:proofErr w:type="spellEnd"/>
      <w:r>
        <w:rPr>
          <w:rFonts w:ascii="Arial" w:hAnsi="Arial" w:cs="Arial"/>
          <w:sz w:val="24"/>
          <w:lang w:val="es-MX"/>
        </w:rPr>
        <w:t xml:space="preserve"> exigido constitucionalmente;</w:t>
      </w:r>
    </w:p>
    <w:p w:rsidR="00263755" w:rsidRDefault="00263755" w:rsidP="00A22ACD">
      <w:pPr>
        <w:spacing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ATENTO: </w:t>
      </w:r>
      <w:r>
        <w:rPr>
          <w:rFonts w:ascii="Arial" w:hAnsi="Arial" w:cs="Arial"/>
          <w:sz w:val="24"/>
          <w:lang w:val="es-MX"/>
        </w:rPr>
        <w:t>a lo expuesto precedentemente;</w:t>
      </w:r>
    </w:p>
    <w:p w:rsidR="00263755" w:rsidRDefault="00263755" w:rsidP="00263755">
      <w:pPr>
        <w:rPr>
          <w:lang w:val="es-MX"/>
        </w:rPr>
      </w:pPr>
    </w:p>
    <w:p w:rsidR="00263755" w:rsidRDefault="00263755" w:rsidP="00263755">
      <w:pPr>
        <w:rPr>
          <w:lang w:val="es-MX"/>
        </w:rPr>
      </w:pPr>
    </w:p>
    <w:p w:rsidR="00263755" w:rsidRDefault="00263755" w:rsidP="00263755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263755" w:rsidRDefault="00263755" w:rsidP="0026375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Emitir su Dictamen Constitucional señalando que la gestión del Dr. Jorge Luis Gamarra en el Banco Central del Uruguay (BCU), no ha merecido observaciones de este Tribunal;</w:t>
      </w:r>
    </w:p>
    <w:p w:rsidR="00FE383B" w:rsidRDefault="00263755" w:rsidP="00A22ACD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4"/>
          <w:lang w:val="es-MX"/>
        </w:rPr>
        <w:t>Of</w:t>
      </w:r>
      <w:r w:rsidR="00790A1E">
        <w:rPr>
          <w:rFonts w:ascii="Arial" w:hAnsi="Arial" w:cs="Arial"/>
          <w:sz w:val="24"/>
          <w:lang w:val="es-MX"/>
        </w:rPr>
        <w:t>iciar</w:t>
      </w:r>
      <w:r>
        <w:rPr>
          <w:rFonts w:ascii="Arial" w:hAnsi="Arial" w:cs="Arial"/>
          <w:sz w:val="24"/>
          <w:lang w:val="es-MX"/>
        </w:rPr>
        <w:t xml:space="preserve"> al Poder Ejecutivo.</w:t>
      </w:r>
      <w:r w:rsidR="00A22ACD">
        <w:t xml:space="preserve"> </w:t>
      </w:r>
    </w:p>
    <w:p w:rsidR="00A22ACD" w:rsidRDefault="00A22ACD" w:rsidP="00A22ACD">
      <w:pPr>
        <w:spacing w:line="360" w:lineRule="auto"/>
        <w:jc w:val="both"/>
      </w:pPr>
    </w:p>
    <w:p w:rsidR="00A22ACD" w:rsidRDefault="00A22ACD" w:rsidP="00A22ACD">
      <w:pPr>
        <w:spacing w:line="360" w:lineRule="auto"/>
        <w:jc w:val="both"/>
      </w:pPr>
    </w:p>
    <w:p w:rsidR="00A22ACD" w:rsidRDefault="00A22ACD" w:rsidP="00A22ACD">
      <w:pPr>
        <w:spacing w:line="360" w:lineRule="auto"/>
        <w:jc w:val="both"/>
      </w:pPr>
    </w:p>
    <w:p w:rsidR="00A22ACD" w:rsidRPr="00A22ACD" w:rsidRDefault="00A22ACD" w:rsidP="00A22ACD">
      <w:pPr>
        <w:spacing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A22ACD" w:rsidRPr="00A22ACD" w:rsidSect="00A22ACD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C3E28"/>
    <w:multiLevelType w:val="singleLevel"/>
    <w:tmpl w:val="D820F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55"/>
    <w:rsid w:val="00263755"/>
    <w:rsid w:val="006B0FEE"/>
    <w:rsid w:val="00790A1E"/>
    <w:rsid w:val="00A22ACD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63755"/>
    <w:pPr>
      <w:keepNext/>
      <w:spacing w:line="360" w:lineRule="auto"/>
      <w:jc w:val="center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263755"/>
    <w:pPr>
      <w:keepNext/>
      <w:spacing w:line="360" w:lineRule="auto"/>
      <w:jc w:val="right"/>
      <w:outlineLvl w:val="1"/>
    </w:pPr>
    <w:rPr>
      <w:rFonts w:ascii="Bookman Old Style" w:hAnsi="Bookman Old Style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3755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63755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63755"/>
    <w:pPr>
      <w:keepNext/>
      <w:spacing w:line="360" w:lineRule="auto"/>
      <w:jc w:val="center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263755"/>
    <w:pPr>
      <w:keepNext/>
      <w:spacing w:line="360" w:lineRule="auto"/>
      <w:jc w:val="right"/>
      <w:outlineLvl w:val="1"/>
    </w:pPr>
    <w:rPr>
      <w:rFonts w:ascii="Bookman Old Style" w:hAnsi="Bookman Old Style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3755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63755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Daniela Castro</cp:lastModifiedBy>
  <cp:revision>2</cp:revision>
  <dcterms:created xsi:type="dcterms:W3CDTF">2015-04-23T20:12:00Z</dcterms:created>
  <dcterms:modified xsi:type="dcterms:W3CDTF">2015-04-23T20:12:00Z</dcterms:modified>
</cp:coreProperties>
</file>