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7A" w:rsidRDefault="00B461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4617A" w:rsidRDefault="00B4617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17A" w:rsidRDefault="00B461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 xml:space="preserve"> CUENTAS</w:t>
      </w:r>
    </w:p>
    <w:p w:rsidR="00B4617A" w:rsidRDefault="00B4617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17A" w:rsidRDefault="00B461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15  DE ABRIL DE 2015</w:t>
      </w:r>
    </w:p>
    <w:p w:rsidR="00B4617A" w:rsidRDefault="00B461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617A" w:rsidRDefault="00B461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  2015-17-1-0002004, Ent. N° 1629/15)</w:t>
      </w:r>
    </w:p>
    <w:p w:rsidR="00B4617A" w:rsidRDefault="00B4617A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B4617A" w:rsidRDefault="00B4617A">
      <w:pPr>
        <w:tabs>
          <w:tab w:val="center" w:pos="4253"/>
        </w:tabs>
        <w:suppressAutoHyphens/>
        <w:rPr>
          <w:spacing w:val="-3"/>
          <w:lang w:val="en-US"/>
        </w:rPr>
      </w:pPr>
    </w:p>
    <w:p w:rsidR="007F0D86" w:rsidRPr="00B4617A" w:rsidRDefault="00B4617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bCs/>
          <w:spacing w:val="-3"/>
          <w:lang w:val="es-ES_tradnl"/>
        </w:rPr>
        <w:tab/>
      </w:r>
      <w:r w:rsidR="007F0D86" w:rsidRPr="00B4617A">
        <w:rPr>
          <w:b/>
          <w:bCs/>
          <w:spacing w:val="-3"/>
          <w:lang w:val="es-ES_tradnl"/>
        </w:rPr>
        <w:t>VISTO:</w:t>
      </w:r>
      <w:r w:rsidR="007F0D86" w:rsidRPr="00B4617A">
        <w:rPr>
          <w:spacing w:val="-3"/>
          <w:lang w:val="es-ES_tradnl"/>
        </w:rPr>
        <w:t xml:space="preserve"> estos antecedentes remitidos por la </w:t>
      </w:r>
      <w:r w:rsidR="007F0D86" w:rsidRPr="00B4617A">
        <w:t>Administración de las Obras Sanitarias del Estado (OSE)</w:t>
      </w:r>
      <w:r w:rsidR="007F0D86" w:rsidRPr="00B4617A">
        <w:rPr>
          <w:spacing w:val="-3"/>
          <w:lang w:val="es-ES_tradnl"/>
        </w:rPr>
        <w:t>, relacionados con el acuerdo transaccional celebrado con la S</w:t>
      </w:r>
      <w:r>
        <w:rPr>
          <w:spacing w:val="-3"/>
          <w:lang w:val="es-ES_tradnl"/>
        </w:rPr>
        <w:t>eño</w:t>
      </w:r>
      <w:r w:rsidR="007F0D86" w:rsidRPr="00B4617A">
        <w:rPr>
          <w:spacing w:val="-3"/>
          <w:lang w:val="es-ES_tradnl"/>
        </w:rPr>
        <w:t>ra Rita Lerena</w:t>
      </w:r>
      <w:r w:rsidR="007F0D86" w:rsidRPr="00B4617A">
        <w:t>;</w:t>
      </w:r>
    </w:p>
    <w:p w:rsidR="007F0D86" w:rsidRPr="00B4617A" w:rsidRDefault="00B4617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bCs/>
        </w:rPr>
        <w:tab/>
      </w:r>
      <w:r w:rsidR="007F0D86" w:rsidRPr="00B4617A">
        <w:rPr>
          <w:b/>
          <w:bCs/>
        </w:rPr>
        <w:t xml:space="preserve">RESULTANDO: 1) </w:t>
      </w:r>
      <w:r w:rsidR="007F0D86" w:rsidRPr="00B4617A">
        <w:t>que en su oportunidad, la S</w:t>
      </w:r>
      <w:r>
        <w:t>eñora</w:t>
      </w:r>
      <w:r w:rsidR="007F0D86" w:rsidRPr="00B4617A">
        <w:t xml:space="preserve"> Lerena presentó una  petición ante OSE, reclamando que se le abonaran  las diferencias salariales generadas  entre el 2/2/12 y el 25/10/13, por el cumplimiento de tareas superiores a las de su cargo formal de Técnico Comercial, categoría 10, correspondientes a las del cargo de Supervisor de Evaluación y Resolución, Categoría 12;</w:t>
      </w:r>
    </w:p>
    <w:p w:rsidR="007F0D86" w:rsidRPr="00B4617A" w:rsidRDefault="007F0D86" w:rsidP="00B4617A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B4617A">
        <w:rPr>
          <w:b/>
          <w:bCs/>
        </w:rPr>
        <w:t>2)</w:t>
      </w:r>
      <w:r w:rsidRPr="00B4617A">
        <w:t xml:space="preserve"> que la Sección Liquidación de Haberes informó que </w:t>
      </w:r>
      <w:r w:rsidRPr="00B4617A">
        <w:rPr>
          <w:spacing w:val="14"/>
        </w:rPr>
        <w:t>la diferencia salarial reclamada, asciende a un monto nominal total de $</w:t>
      </w:r>
      <w:r w:rsidRPr="00B4617A">
        <w:t xml:space="preserve"> 162.519,70;</w:t>
      </w:r>
    </w:p>
    <w:p w:rsidR="007F0D86" w:rsidRPr="00B4617A" w:rsidRDefault="007F0D86" w:rsidP="00B4617A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B4617A">
        <w:rPr>
          <w:b/>
          <w:bCs/>
        </w:rPr>
        <w:t xml:space="preserve">3) </w:t>
      </w:r>
      <w:r w:rsidRPr="00B4617A">
        <w:t>que a efectos de evitar un litigio eventual y sin que ello implicara   reconocimiento de clase alguna a la pretensión instaurada, las `partes acordaron, a modo de transacción, que la Administración abonara  a la reclamante el 60% de las diferencias salariales resultante de la liquidación mencionada, suma que descontadas las respectivas cargas legales, asciende a  $57.363,31;</w:t>
      </w:r>
    </w:p>
    <w:p w:rsidR="007F0D86" w:rsidRPr="00B4617A" w:rsidRDefault="00B4617A" w:rsidP="00B4617A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7F0D86" w:rsidRPr="00B4617A">
        <w:rPr>
          <w:b/>
          <w:bCs/>
        </w:rPr>
        <w:t>4)</w:t>
      </w:r>
      <w:r w:rsidR="007F0D86" w:rsidRPr="00B4617A">
        <w:t xml:space="preserve"> que  por Resolución del Directorio  Nº 215/2015 de fecha 11/03/2015,  se aprobó la transacción referida, autorizándose un crédito por la suma de $ 98.362(incluidas  las cargas legales impuestas al Organismo);</w:t>
      </w:r>
    </w:p>
    <w:p w:rsidR="007F0D86" w:rsidRPr="00B4617A" w:rsidRDefault="00B4617A" w:rsidP="00B4617A">
      <w:pPr>
        <w:tabs>
          <w:tab w:val="left" w:pos="-720"/>
        </w:tabs>
        <w:suppressAutoHyphens/>
        <w:spacing w:line="360" w:lineRule="auto"/>
        <w:ind w:firstLine="2552"/>
        <w:jc w:val="both"/>
      </w:pPr>
      <w:r w:rsidRPr="00B4617A">
        <w:rPr>
          <w:b/>
          <w:spacing w:val="6"/>
        </w:rPr>
        <w:lastRenderedPageBreak/>
        <w:t xml:space="preserve"> </w:t>
      </w:r>
      <w:r w:rsidR="007F0D86" w:rsidRPr="00B4617A">
        <w:rPr>
          <w:b/>
          <w:spacing w:val="6"/>
        </w:rPr>
        <w:t>5</w:t>
      </w:r>
      <w:r w:rsidR="007F0D86" w:rsidRPr="00B4617A">
        <w:rPr>
          <w:b/>
          <w:bCs/>
          <w:spacing w:val="6"/>
        </w:rPr>
        <w:t xml:space="preserve">) </w:t>
      </w:r>
      <w:r w:rsidR="007F0D86" w:rsidRPr="00B4617A">
        <w:rPr>
          <w:spacing w:val="6"/>
        </w:rPr>
        <w:t>que el 19/3/15, se efectuó imputación del gasto de $</w:t>
      </w:r>
      <w:r w:rsidR="007F0D86" w:rsidRPr="00B4617A">
        <w:t xml:space="preserve"> 98.362 con cargo al Grupo 7 “Gastos no Clasificados”,   Objeto 711000, el cual cuenta con disponibilidad suficiente;</w:t>
      </w:r>
    </w:p>
    <w:p w:rsidR="007F0D86" w:rsidRPr="00B4617A" w:rsidRDefault="009B5863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</w:rPr>
        <w:tab/>
      </w:r>
      <w:r w:rsidR="007F0D86" w:rsidRPr="00B4617A">
        <w:rPr>
          <w:b/>
          <w:bCs/>
          <w:spacing w:val="-3"/>
        </w:rPr>
        <w:t>C</w:t>
      </w:r>
      <w:r w:rsidR="007F0D86" w:rsidRPr="00B4617A">
        <w:rPr>
          <w:b/>
          <w:bCs/>
          <w:spacing w:val="-3"/>
          <w:lang w:val="es-ES_tradnl"/>
        </w:rPr>
        <w:t>ONSIDERANDO: 1)</w:t>
      </w:r>
      <w:r w:rsidR="007F0D86" w:rsidRPr="00B4617A">
        <w:rPr>
          <w:spacing w:val="-3"/>
          <w:lang w:val="es-ES_tradnl"/>
        </w:rPr>
        <w:t xml:space="preserve"> que por Resolución del Tribunal de Cuentas, de</w:t>
      </w:r>
      <w:r w:rsidR="007F0D86" w:rsidRPr="00B4617A">
        <w:rPr>
          <w:b/>
          <w:bCs/>
          <w:spacing w:val="-3"/>
          <w:lang w:val="es-ES_tradnl"/>
        </w:rPr>
        <w:t xml:space="preserve"> </w:t>
      </w:r>
      <w:r w:rsidR="007F0D86" w:rsidRPr="00B4617A">
        <w:rPr>
          <w:spacing w:val="-3"/>
          <w:lang w:val="es-ES_tradnl"/>
        </w:rPr>
        <w:t xml:space="preserve">fecha 18 de junio de 2008 en la redacción dada por el </w:t>
      </w:r>
      <w:r>
        <w:rPr>
          <w:spacing w:val="-3"/>
          <w:lang w:val="es-ES_tradnl"/>
        </w:rPr>
        <w:t>A</w:t>
      </w:r>
      <w:r w:rsidR="007F0D86" w:rsidRPr="00B4617A">
        <w:rPr>
          <w:spacing w:val="-3"/>
          <w:lang w:val="es-ES_tradnl"/>
        </w:rPr>
        <w:t>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7F0D86" w:rsidRPr="00B4617A" w:rsidRDefault="007F0D86" w:rsidP="009B5863">
      <w:pPr>
        <w:tabs>
          <w:tab w:val="left" w:pos="-720"/>
        </w:tabs>
        <w:suppressAutoHyphens/>
        <w:spacing w:line="360" w:lineRule="auto"/>
        <w:ind w:firstLine="2835"/>
        <w:jc w:val="both"/>
        <w:rPr>
          <w:spacing w:val="-3"/>
          <w:lang w:val="es-ES_tradnl"/>
        </w:rPr>
      </w:pPr>
      <w:r w:rsidRPr="00B4617A">
        <w:rPr>
          <w:b/>
          <w:bCs/>
          <w:spacing w:val="-3"/>
          <w:lang w:val="es-ES_tradnl"/>
        </w:rPr>
        <w:t xml:space="preserve">2) </w:t>
      </w:r>
      <w:r w:rsidRPr="00B4617A">
        <w:t>que los aspectos que refieren a oportunidad o conveniencia de la transacción propuesta, constituyen una cuestión de mérito cuya apreciación no encuadra en el ámbito de competencia de este Tribunal;</w:t>
      </w:r>
      <w:r w:rsidRPr="00B4617A">
        <w:rPr>
          <w:spacing w:val="-3"/>
          <w:lang w:val="es-ES_tradnl"/>
        </w:rPr>
        <w:t xml:space="preserve">  </w:t>
      </w:r>
    </w:p>
    <w:p w:rsidR="007F0D86" w:rsidRPr="00B4617A" w:rsidRDefault="009B5863" w:rsidP="009B5863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bCs/>
          <w:spacing w:val="-3"/>
          <w:lang w:val="es-ES_tradnl"/>
        </w:rPr>
        <w:tab/>
      </w:r>
      <w:r w:rsidR="007F0D86" w:rsidRPr="00B4617A">
        <w:rPr>
          <w:b/>
          <w:bCs/>
          <w:spacing w:val="-3"/>
          <w:lang w:val="es-ES_tradnl"/>
        </w:rPr>
        <w:t>ATENTO:</w:t>
      </w:r>
      <w:r w:rsidR="007F0D86" w:rsidRPr="00B4617A">
        <w:rPr>
          <w:spacing w:val="-3"/>
          <w:lang w:val="es-ES_tradnl"/>
        </w:rPr>
        <w:t xml:space="preserve"> </w:t>
      </w:r>
      <w:r w:rsidR="007F0D86" w:rsidRPr="00B4617A">
        <w:t xml:space="preserve">a lo precedentemente expuesto, a lo dispuesto por el </w:t>
      </w:r>
      <w:r>
        <w:t>A</w:t>
      </w:r>
      <w:r w:rsidR="007F0D86" w:rsidRPr="00B4617A">
        <w:t xml:space="preserve">rtículo 211 </w:t>
      </w:r>
      <w:r>
        <w:t>L</w:t>
      </w:r>
      <w:r w:rsidR="007F0D86" w:rsidRPr="00B4617A">
        <w:t>it</w:t>
      </w:r>
      <w:r>
        <w:t>eral</w:t>
      </w:r>
      <w:r w:rsidR="007F0D86" w:rsidRPr="00B4617A">
        <w:t xml:space="preserve"> B) de la Constitución de la República y los </w:t>
      </w:r>
      <w:r>
        <w:t>A</w:t>
      </w:r>
      <w:r w:rsidR="007F0D86" w:rsidRPr="00B4617A">
        <w:t>rtículos 2147 y siguientes del Código Civil;</w:t>
      </w:r>
    </w:p>
    <w:p w:rsidR="009B5863" w:rsidRDefault="007F0D86" w:rsidP="009B5863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 w:cs="Arial"/>
          <w:spacing w:val="0"/>
          <w:lang w:val="es-ES"/>
        </w:rPr>
      </w:pPr>
      <w:r w:rsidRPr="00B4617A">
        <w:rPr>
          <w:rFonts w:ascii="Arial" w:hAnsi="Arial" w:cs="Arial"/>
          <w:spacing w:val="0"/>
          <w:lang w:val="es-ES"/>
        </w:rPr>
        <w:t>EL TRIBUNAL ACUERDA</w:t>
      </w:r>
    </w:p>
    <w:p w:rsidR="009B5863" w:rsidRDefault="009B5863" w:rsidP="009B5863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1) </w:t>
      </w:r>
      <w:r w:rsidR="007F0D86" w:rsidRPr="009B5863">
        <w:rPr>
          <w:rFonts w:ascii="Arial" w:hAnsi="Arial" w:cs="Arial"/>
          <w:b w:val="0"/>
        </w:rPr>
        <w:t>Intervenir el gasto  de $ 98.362</w:t>
      </w:r>
      <w:r>
        <w:rPr>
          <w:rFonts w:ascii="Arial" w:hAnsi="Arial" w:cs="Arial"/>
          <w:b w:val="0"/>
        </w:rPr>
        <w:t>; y</w:t>
      </w:r>
    </w:p>
    <w:p w:rsidR="007F0D86" w:rsidRPr="009B5863" w:rsidRDefault="009B5863" w:rsidP="009B5863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jc w:val="left"/>
        <w:rPr>
          <w:rFonts w:ascii="Arial" w:hAnsi="Arial" w:cs="Arial"/>
          <w:b w:val="0"/>
          <w:spacing w:val="0"/>
          <w:lang w:val="es-ES"/>
        </w:rPr>
      </w:pPr>
      <w:r w:rsidRPr="009B5863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7F0D86" w:rsidRPr="009B5863">
        <w:rPr>
          <w:rFonts w:ascii="Arial" w:hAnsi="Arial" w:cs="Arial"/>
          <w:b w:val="0"/>
        </w:rPr>
        <w:t>Devolver las actuaciones.</w:t>
      </w:r>
    </w:p>
    <w:p w:rsidR="007F0D86" w:rsidRPr="00B4617A" w:rsidRDefault="007F0D86" w:rsidP="009B5863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  <w:r w:rsidRPr="00B4617A">
        <w:br/>
      </w:r>
      <w:r w:rsidRPr="00B4617A">
        <w:rPr>
          <w:spacing w:val="-3"/>
          <w:lang w:val="es-ES_tradnl"/>
        </w:rPr>
        <w:t xml:space="preserve"> </w:t>
      </w:r>
    </w:p>
    <w:p w:rsidR="007F0D86" w:rsidRDefault="007F0D86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9B5863" w:rsidRDefault="009B5863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9B5863" w:rsidRDefault="009B5863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9B5863" w:rsidRDefault="009B5863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9B5863" w:rsidRPr="00B4617A" w:rsidRDefault="009B5863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  <w:r>
        <w:rPr>
          <w:spacing w:val="-3"/>
          <w:lang w:val="es-ES_tradnl"/>
        </w:rPr>
        <w:t>cr</w:t>
      </w:r>
    </w:p>
    <w:sectPr w:rsidR="009B5863" w:rsidRPr="00B4617A" w:rsidSect="00B4617A">
      <w:headerReference w:type="default" r:id="rId8"/>
      <w:footerReference w:type="default" r:id="rId9"/>
      <w:pgSz w:w="11907" w:h="16840" w:code="9"/>
      <w:pgMar w:top="3402" w:right="1701" w:bottom="1418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86" w:rsidRDefault="007F0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F0D86" w:rsidRDefault="007F0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86" w:rsidRDefault="007F0D86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586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0D86" w:rsidRDefault="007F0D8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86" w:rsidRDefault="007F0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F0D86" w:rsidRDefault="007F0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86" w:rsidRDefault="009B5863">
    <w:pPr>
      <w:suppressAutoHyphens/>
      <w:jc w:val="both"/>
      <w:rPr>
        <w:rFonts w:ascii="Times New Roman" w:hAnsi="Times New Roman" w:cs="Times New Roman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86" w:rsidRDefault="007F0D86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rFonts w:ascii="Times New Roman" w:hAnsi="Times New Roman" w:cs="Times New Roman"/>
                              <w:spacing w:val="-3"/>
                              <w:lang w:val="es-ES_tradnl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" o:allowincell="f" filled="f" stroked="f" strokeweight="0">
              <v:textbox inset="0,0,0,0">
                <w:txbxContent>
                  <w:p w:rsidR="007F0D86" w:rsidRDefault="007F0D86">
                    <w:pPr>
                      <w:tabs>
                        <w:tab w:val="center" w:pos="4218"/>
                        <w:tab w:val="right" w:pos="8436"/>
                      </w:tabs>
                      <w:rPr>
                        <w:rFonts w:ascii="Times New Roman" w:hAnsi="Times New Roman" w:cs="Times New Roman"/>
                        <w:spacing w:val="-3"/>
                        <w:lang w:val="es-ES_tradnl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7F0D86" w:rsidRDefault="007F0D86">
    <w:pPr>
      <w:suppressAutoHyphens/>
      <w:spacing w:after="140" w:line="100" w:lineRule="exact"/>
      <w:jc w:val="both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D03"/>
    <w:multiLevelType w:val="singleLevel"/>
    <w:tmpl w:val="AEDA80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86"/>
    <w:rsid w:val="007F0D86"/>
    <w:rsid w:val="009B5863"/>
    <w:rsid w:val="00B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 w:cs="Bookman Old Style"/>
      <w:b/>
      <w:bCs/>
      <w:spacing w:val="-3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uppressAutoHyphens/>
      <w:spacing w:line="360" w:lineRule="auto"/>
      <w:jc w:val="both"/>
      <w:outlineLvl w:val="1"/>
    </w:pPr>
    <w:rPr>
      <w:b/>
      <w:bCs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Bookman Old Style" w:hAnsi="Bookman Old Style" w:cs="Bookman Old Style"/>
      <w:b/>
      <w:bCs/>
      <w:snapToGrid w:val="0"/>
      <w:spacing w:val="-3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</w:pPr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hAnsi="Courier New" w:cs="Courier New"/>
      <w:snapToGrid w:val="0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B58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863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 w:cs="Bookman Old Style"/>
      <w:b/>
      <w:bCs/>
      <w:spacing w:val="-3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uppressAutoHyphens/>
      <w:spacing w:line="360" w:lineRule="auto"/>
      <w:jc w:val="both"/>
      <w:outlineLvl w:val="1"/>
    </w:pPr>
    <w:rPr>
      <w:b/>
      <w:bCs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Bookman Old Style" w:hAnsi="Bookman Old Style" w:cs="Bookman Old Style"/>
      <w:b/>
      <w:bCs/>
      <w:snapToGrid w:val="0"/>
      <w:spacing w:val="-3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</w:pPr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hAnsi="Courier New" w:cs="Courier New"/>
      <w:snapToGrid w:val="0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B58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863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2015-17-1-0002004</vt:lpstr>
    </vt:vector>
  </TitlesOfParts>
  <Company>Lenovo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2015-17-1-0002004</dc:title>
  <dc:subject/>
  <dc:creator>Lenovo User</dc:creator>
  <cp:keywords/>
  <dc:description/>
  <cp:lastModifiedBy>Miriam Cristina Rivero</cp:lastModifiedBy>
  <cp:revision>2</cp:revision>
  <cp:lastPrinted>2015-04-17T16:14:00Z</cp:lastPrinted>
  <dcterms:created xsi:type="dcterms:W3CDTF">2015-04-17T16:14:00Z</dcterms:created>
  <dcterms:modified xsi:type="dcterms:W3CDTF">2015-04-17T16:14:00Z</dcterms:modified>
</cp:coreProperties>
</file>