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0C" w:rsidRPr="0012580A" w:rsidRDefault="009752B2" w:rsidP="009752B2">
      <w:pPr>
        <w:tabs>
          <w:tab w:val="center" w:pos="4253"/>
        </w:tabs>
        <w:suppressAutoHyphens/>
        <w:spacing w:line="240" w:lineRule="auto"/>
        <w:jc w:val="center"/>
        <w:rPr>
          <w:rFonts w:eastAsia="Calibri"/>
          <w:b/>
          <w:lang w:val="es-ES_tradnl" w:eastAsia="en-US"/>
        </w:rPr>
      </w:pPr>
      <w:bookmarkStart w:id="0" w:name="_GoBack"/>
      <w:bookmarkEnd w:id="0"/>
      <w:r>
        <w:rPr>
          <w:rFonts w:eastAsia="Calibri"/>
          <w:b/>
          <w:lang w:val="es-ES_tradnl" w:eastAsia="en-US"/>
        </w:rPr>
        <w:t>ORDENANZA Nº 87</w:t>
      </w:r>
    </w:p>
    <w:p w:rsidR="0091320C" w:rsidRPr="0012580A" w:rsidRDefault="0091320C" w:rsidP="009752B2">
      <w:pPr>
        <w:tabs>
          <w:tab w:val="left" w:pos="-720"/>
        </w:tabs>
        <w:suppressAutoHyphens/>
        <w:spacing w:line="240" w:lineRule="auto"/>
        <w:jc w:val="center"/>
        <w:rPr>
          <w:rFonts w:eastAsia="Calibri"/>
          <w:b/>
          <w:lang w:val="es-ES_tradnl" w:eastAsia="en-US"/>
        </w:rPr>
      </w:pPr>
    </w:p>
    <w:p w:rsidR="009752B2" w:rsidRDefault="009752B2" w:rsidP="009752B2">
      <w:pPr>
        <w:tabs>
          <w:tab w:val="center" w:pos="4253"/>
        </w:tabs>
        <w:suppressAutoHyphens/>
        <w:spacing w:line="240" w:lineRule="auto"/>
        <w:jc w:val="center"/>
        <w:rPr>
          <w:rFonts w:eastAsia="Calibri"/>
          <w:b/>
          <w:lang w:val="es-ES_tradnl" w:eastAsia="en-US"/>
        </w:rPr>
      </w:pPr>
      <w:r>
        <w:rPr>
          <w:rFonts w:eastAsia="Calibri"/>
          <w:b/>
          <w:lang w:val="es-ES_tradnl" w:eastAsia="en-US"/>
        </w:rPr>
        <w:t>INTERVENCION DE GASTOS Y PAGOS EN</w:t>
      </w:r>
    </w:p>
    <w:p w:rsidR="009752B2" w:rsidRDefault="009752B2" w:rsidP="009752B2">
      <w:pPr>
        <w:tabs>
          <w:tab w:val="center" w:pos="4253"/>
        </w:tabs>
        <w:suppressAutoHyphens/>
        <w:spacing w:line="240" w:lineRule="auto"/>
        <w:jc w:val="center"/>
        <w:rPr>
          <w:rFonts w:eastAsia="Calibri"/>
          <w:b/>
          <w:lang w:val="es-ES_tradnl" w:eastAsia="en-US"/>
        </w:rPr>
      </w:pPr>
      <w:r>
        <w:rPr>
          <w:rFonts w:eastAsia="Calibri"/>
          <w:b/>
          <w:lang w:val="es-ES_tradnl" w:eastAsia="en-US"/>
        </w:rPr>
        <w:t xml:space="preserve"> </w:t>
      </w:r>
    </w:p>
    <w:p w:rsidR="009752B2" w:rsidRDefault="009752B2" w:rsidP="009752B2">
      <w:pPr>
        <w:tabs>
          <w:tab w:val="center" w:pos="4253"/>
        </w:tabs>
        <w:suppressAutoHyphens/>
        <w:spacing w:line="240" w:lineRule="auto"/>
        <w:jc w:val="center"/>
        <w:rPr>
          <w:rFonts w:eastAsia="Calibri"/>
          <w:b/>
          <w:lang w:val="es-ES_tradnl" w:eastAsia="en-US"/>
        </w:rPr>
      </w:pPr>
      <w:r>
        <w:rPr>
          <w:rFonts w:eastAsia="Calibri"/>
          <w:b/>
          <w:lang w:val="es-ES_tradnl" w:eastAsia="en-US"/>
        </w:rPr>
        <w:t xml:space="preserve">EXPEDIENTE ELECTRÓNICO </w:t>
      </w:r>
    </w:p>
    <w:p w:rsidR="009752B2" w:rsidRDefault="009752B2" w:rsidP="009752B2">
      <w:pPr>
        <w:tabs>
          <w:tab w:val="center" w:pos="4253"/>
        </w:tabs>
        <w:suppressAutoHyphens/>
        <w:spacing w:line="240" w:lineRule="auto"/>
        <w:jc w:val="center"/>
        <w:rPr>
          <w:rFonts w:eastAsia="Calibri"/>
          <w:b/>
          <w:lang w:val="es-ES_tradnl" w:eastAsia="en-US"/>
        </w:rPr>
      </w:pPr>
    </w:p>
    <w:p w:rsidR="0091320C" w:rsidRPr="0012580A" w:rsidRDefault="009752B2" w:rsidP="009752B2">
      <w:pPr>
        <w:tabs>
          <w:tab w:val="center" w:pos="4253"/>
        </w:tabs>
        <w:suppressAutoHyphens/>
        <w:spacing w:line="240" w:lineRule="auto"/>
        <w:jc w:val="center"/>
        <w:rPr>
          <w:rFonts w:eastAsia="Calibri"/>
          <w:b/>
          <w:lang w:val="es-ES_tradnl" w:eastAsia="en-US"/>
        </w:rPr>
      </w:pPr>
      <w:r>
        <w:rPr>
          <w:rFonts w:eastAsia="Calibri"/>
          <w:b/>
          <w:lang w:val="es-ES_tradnl" w:eastAsia="en-US"/>
        </w:rPr>
        <w:t>POR PARTE DE CONTADORES AUDITORES</w:t>
      </w:r>
    </w:p>
    <w:p w:rsidR="0091320C" w:rsidRPr="0012580A" w:rsidRDefault="0091320C" w:rsidP="009752B2">
      <w:pPr>
        <w:tabs>
          <w:tab w:val="left" w:pos="-720"/>
        </w:tabs>
        <w:suppressAutoHyphens/>
        <w:spacing w:line="240" w:lineRule="auto"/>
        <w:jc w:val="center"/>
        <w:rPr>
          <w:rFonts w:eastAsia="Calibri"/>
          <w:b/>
          <w:lang w:val="es-ES_tradnl" w:eastAsia="en-US"/>
        </w:rPr>
      </w:pPr>
    </w:p>
    <w:p w:rsidR="0091320C" w:rsidRPr="009752B2" w:rsidRDefault="0091320C" w:rsidP="009752B2">
      <w:pPr>
        <w:tabs>
          <w:tab w:val="center" w:pos="4253"/>
        </w:tabs>
        <w:suppressAutoHyphens/>
        <w:spacing w:line="240" w:lineRule="auto"/>
        <w:jc w:val="center"/>
        <w:rPr>
          <w:rFonts w:eastAsia="Calibri"/>
          <w:b/>
          <w:lang w:val="es-ES_tradnl" w:eastAsia="en-US"/>
        </w:rPr>
      </w:pPr>
      <w:r w:rsidRPr="009752B2">
        <w:rPr>
          <w:rFonts w:eastAsia="Calibri"/>
          <w:b/>
          <w:lang w:val="es-ES_tradnl" w:eastAsia="en-US"/>
        </w:rPr>
        <w:t>(E. E. Nº 2015-17-1-0001</w:t>
      </w:r>
      <w:r w:rsidR="00C9343E">
        <w:rPr>
          <w:rFonts w:eastAsia="Calibri"/>
          <w:b/>
          <w:lang w:val="es-ES_tradnl" w:eastAsia="en-US"/>
        </w:rPr>
        <w:t>721</w:t>
      </w:r>
      <w:r w:rsidRPr="009752B2">
        <w:rPr>
          <w:rFonts w:eastAsia="Calibri"/>
          <w:b/>
          <w:lang w:val="es-ES_tradnl" w:eastAsia="en-US"/>
        </w:rPr>
        <w:t>)</w:t>
      </w:r>
    </w:p>
    <w:p w:rsidR="0091320C" w:rsidRPr="003D71C0" w:rsidRDefault="0091320C" w:rsidP="009752B2">
      <w:pPr>
        <w:spacing w:line="240" w:lineRule="auto"/>
        <w:rPr>
          <w:lang w:val="es-MX"/>
        </w:rPr>
      </w:pPr>
    </w:p>
    <w:p w:rsidR="000903DB" w:rsidRDefault="000903DB" w:rsidP="000903DB">
      <w:pPr>
        <w:jc w:val="right"/>
        <w:rPr>
          <w:bCs/>
        </w:rPr>
      </w:pPr>
    </w:p>
    <w:p w:rsidR="001C4CB1" w:rsidRDefault="000903DB" w:rsidP="000903DB">
      <w:pPr>
        <w:jc w:val="right"/>
        <w:rPr>
          <w:bCs/>
        </w:rPr>
      </w:pPr>
      <w:r w:rsidRPr="000903DB">
        <w:rPr>
          <w:bCs/>
        </w:rPr>
        <w:t>Montevideo, 18 de marzo de 2015</w:t>
      </w:r>
    </w:p>
    <w:p w:rsidR="000903DB" w:rsidRPr="000903DB" w:rsidRDefault="000903DB" w:rsidP="000903DB">
      <w:pPr>
        <w:jc w:val="right"/>
        <w:rPr>
          <w:bCs/>
        </w:rPr>
      </w:pPr>
    </w:p>
    <w:p w:rsidR="001C4CB1" w:rsidRDefault="001C4CB1" w:rsidP="0091320C">
      <w:pPr>
        <w:ind w:firstLine="851"/>
      </w:pPr>
      <w:r>
        <w:rPr>
          <w:b/>
          <w:bCs/>
        </w:rPr>
        <w:t xml:space="preserve">VISTO: </w:t>
      </w:r>
      <w:r>
        <w:t>que se está efectuando la implementación del sistema de expediente electrónico en los distintos incisos de la Administración Central;</w:t>
      </w:r>
    </w:p>
    <w:p w:rsidR="001C4CB1" w:rsidRDefault="001C4CB1" w:rsidP="0091320C">
      <w:pPr>
        <w:ind w:firstLine="851"/>
      </w:pPr>
      <w:r>
        <w:rPr>
          <w:b/>
          <w:bCs/>
        </w:rPr>
        <w:t xml:space="preserve">RESULTANDO: 1) </w:t>
      </w:r>
      <w:r>
        <w:t>que, en la actualidad, la intervención de los gastos y pagos, por parte de los Contadores Auditores destacados en dicho incisos, se efectúa en el expediente formato papel;</w:t>
      </w:r>
    </w:p>
    <w:p w:rsidR="001C4CB1" w:rsidRDefault="001C4CB1" w:rsidP="0091320C">
      <w:pPr>
        <w:ind w:firstLine="2694"/>
      </w:pPr>
      <w:r>
        <w:rPr>
          <w:b/>
          <w:bCs/>
        </w:rPr>
        <w:t xml:space="preserve">2) </w:t>
      </w:r>
      <w:r>
        <w:t xml:space="preserve">que en la medida en que se extienda la implementación del sistema de expediente electrónico en la Administración Pública, según lo dispuesto por el </w:t>
      </w:r>
      <w:r w:rsidR="00110EE7">
        <w:t>A</w:t>
      </w:r>
      <w:r>
        <w:t>rtículo 695 de la Ley Nº 16.736 de 5 de enero de 1996</w:t>
      </w:r>
      <w:r w:rsidR="00110EE7">
        <w:t>,</w:t>
      </w:r>
      <w:r>
        <w:t xml:space="preserve">  los trámites y actuaciones que conforman el procedimiento administrativo así como los actos administrativos se realizarán por medios informáticos, con idéntica validez jurídica y valor probatorio que las actuaciones que se realizan por medios convencionales;</w:t>
      </w:r>
    </w:p>
    <w:p w:rsidR="001C4CB1" w:rsidRDefault="001C4CB1" w:rsidP="0091320C">
      <w:pPr>
        <w:ind w:firstLine="851"/>
      </w:pPr>
      <w:r>
        <w:rPr>
          <w:b/>
          <w:bCs/>
        </w:rPr>
        <w:t xml:space="preserve">CONSIDERANDO: 1) </w:t>
      </w:r>
      <w:r>
        <w:t xml:space="preserve">que resulta necesario adecuar la competencia de intervención de gastos y pagos conferida por el </w:t>
      </w:r>
      <w:r w:rsidR="0091320C">
        <w:t>A</w:t>
      </w:r>
      <w:r>
        <w:t xml:space="preserve">rtículo 211 </w:t>
      </w:r>
      <w:r w:rsidR="0091320C">
        <w:t>L</w:t>
      </w:r>
      <w:r>
        <w:t>iteral B) de la Constitución de la República al nuevo sistema que se está implementando;</w:t>
      </w:r>
    </w:p>
    <w:p w:rsidR="001C4CB1" w:rsidRDefault="001C4CB1" w:rsidP="0091320C">
      <w:pPr>
        <w:ind w:firstLine="2977"/>
      </w:pPr>
      <w:r>
        <w:rPr>
          <w:b/>
          <w:bCs/>
        </w:rPr>
        <w:t xml:space="preserve">2) </w:t>
      </w:r>
      <w:r>
        <w:t>que, a los efectos de no disminuir las posibilidades de control de este Tribunal, los Contadores Auditores deberán tener acceso de consulta a los expedientes informáticos en los que hubieren tenido alguna actuación;</w:t>
      </w:r>
    </w:p>
    <w:p w:rsidR="001C4CB1" w:rsidRDefault="001C4CB1" w:rsidP="0091320C">
      <w:pPr>
        <w:ind w:firstLine="851"/>
      </w:pPr>
      <w:r>
        <w:rPr>
          <w:b/>
          <w:bCs/>
        </w:rPr>
        <w:lastRenderedPageBreak/>
        <w:t xml:space="preserve">ATENTO: </w:t>
      </w:r>
      <w:r>
        <w:t xml:space="preserve">a lo establecido por el </w:t>
      </w:r>
      <w:r w:rsidR="0091320C">
        <w:t>A</w:t>
      </w:r>
      <w:r>
        <w:t xml:space="preserve">rtículo 211 </w:t>
      </w:r>
      <w:r w:rsidR="0091320C">
        <w:t>L</w:t>
      </w:r>
      <w:r>
        <w:t xml:space="preserve">iterales B) y F) de la Constitución de la República y a lo expuesto </w:t>
      </w:r>
      <w:r w:rsidR="00190AB5">
        <w:t>precedentemente;</w:t>
      </w:r>
    </w:p>
    <w:p w:rsidR="001C4CB1" w:rsidRDefault="001C4CB1">
      <w:pPr>
        <w:pStyle w:val="Ttulo1"/>
      </w:pPr>
      <w:r>
        <w:t>EL TRIBUNAL ACUERDA</w:t>
      </w:r>
    </w:p>
    <w:p w:rsidR="001C4CB1" w:rsidRDefault="0091320C" w:rsidP="00110EE7">
      <w:pPr>
        <w:ind w:left="284" w:hanging="284"/>
      </w:pPr>
      <w:r w:rsidRPr="0091320C">
        <w:rPr>
          <w:b/>
        </w:rPr>
        <w:t>1)</w:t>
      </w:r>
      <w:r>
        <w:t xml:space="preserve"> </w:t>
      </w:r>
      <w:r w:rsidR="001C4CB1">
        <w:t xml:space="preserve">En los </w:t>
      </w:r>
      <w:r w:rsidR="00110EE7">
        <w:t>O</w:t>
      </w:r>
      <w:r w:rsidR="001C4CB1">
        <w:t>rganismos en los que se implemente la utilización de expediente electrónico, los Contadores Auditores de este Tribunal efectuarán la intervenció</w:t>
      </w:r>
      <w:r>
        <w:t>n de gastos y pagos en el mismo;</w:t>
      </w:r>
    </w:p>
    <w:p w:rsidR="001C4CB1" w:rsidRPr="007A2B7D" w:rsidRDefault="0091320C" w:rsidP="007A2B7D">
      <w:pPr>
        <w:ind w:left="284" w:hanging="284"/>
      </w:pPr>
      <w:r w:rsidRPr="0091320C">
        <w:rPr>
          <w:b/>
        </w:rPr>
        <w:t>2)</w:t>
      </w:r>
      <w:r w:rsidR="007A2B7D">
        <w:rPr>
          <w:b/>
        </w:rPr>
        <w:t xml:space="preserve"> </w:t>
      </w:r>
      <w:r w:rsidR="007A2B7D" w:rsidRPr="007A2B7D">
        <w:t>La Admini</w:t>
      </w:r>
      <w:r w:rsidR="007A2B7D">
        <w:t>s</w:t>
      </w:r>
      <w:r w:rsidR="007A2B7D" w:rsidRPr="007A2B7D">
        <w:t>trac</w:t>
      </w:r>
      <w:r w:rsidR="007A2B7D">
        <w:t>i</w:t>
      </w:r>
      <w:r w:rsidR="007A2B7D" w:rsidRPr="007A2B7D">
        <w:t>ón</w:t>
      </w:r>
      <w:r w:rsidR="007A2B7D">
        <w:t xml:space="preserve"> deberá tomar las medidas pertinentes a efectos de su cumplimiento de acuerdo a lo expresado en el Considerando 2)</w:t>
      </w:r>
      <w:r w:rsidRPr="007A2B7D">
        <w:t>;</w:t>
      </w:r>
    </w:p>
    <w:p w:rsidR="001C4CB1" w:rsidRDefault="0091320C" w:rsidP="0091320C">
      <w:r w:rsidRPr="0091320C">
        <w:rPr>
          <w:b/>
        </w:rPr>
        <w:t>3)</w:t>
      </w:r>
      <w:r>
        <w:t xml:space="preserve"> </w:t>
      </w:r>
      <w:r w:rsidR="001C4CB1">
        <w:t>Comuníquese y publíquese en el Diario Oficial</w:t>
      </w:r>
      <w:r w:rsidR="002417C7">
        <w:t>;</w:t>
      </w:r>
    </w:p>
    <w:p w:rsidR="002417C7" w:rsidRPr="002417C7" w:rsidRDefault="002417C7" w:rsidP="0091320C">
      <w:r w:rsidRPr="002417C7">
        <w:rPr>
          <w:b/>
        </w:rPr>
        <w:t xml:space="preserve">4) </w:t>
      </w:r>
      <w:r w:rsidRPr="002417C7">
        <w:t>Pase a División de Apoyo.</w:t>
      </w:r>
    </w:p>
    <w:p w:rsidR="0091320C" w:rsidRDefault="0091320C" w:rsidP="0091320C"/>
    <w:p w:rsidR="0091320C" w:rsidRDefault="0091320C" w:rsidP="0091320C">
      <w:proofErr w:type="spellStart"/>
      <w:proofErr w:type="gramStart"/>
      <w:r>
        <w:t>ag</w:t>
      </w:r>
      <w:proofErr w:type="spellEnd"/>
      <w:proofErr w:type="gramEnd"/>
    </w:p>
    <w:sectPr w:rsidR="0091320C" w:rsidSect="0017306C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A0FF4"/>
    <w:multiLevelType w:val="hybridMultilevel"/>
    <w:tmpl w:val="63064D5E"/>
    <w:lvl w:ilvl="0" w:tplc="8B4A06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B1"/>
    <w:rsid w:val="000903DB"/>
    <w:rsid w:val="00110EE7"/>
    <w:rsid w:val="001338A5"/>
    <w:rsid w:val="0017306C"/>
    <w:rsid w:val="00190AB5"/>
    <w:rsid w:val="001C4CB1"/>
    <w:rsid w:val="002417C7"/>
    <w:rsid w:val="003309C0"/>
    <w:rsid w:val="00587736"/>
    <w:rsid w:val="005F484A"/>
    <w:rsid w:val="007A2B7D"/>
    <w:rsid w:val="0091320C"/>
    <w:rsid w:val="009752B2"/>
    <w:rsid w:val="00BB7AD9"/>
    <w:rsid w:val="00C9343E"/>
    <w:rsid w:val="00F1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spacing w:line="360" w:lineRule="auto"/>
      <w:jc w:val="both"/>
    </w:pPr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C4CB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34"/>
    <w:qFormat/>
    <w:rsid w:val="00913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spacing w:line="360" w:lineRule="auto"/>
      <w:jc w:val="both"/>
    </w:pPr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C4CB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34"/>
    <w:qFormat/>
    <w:rsid w:val="00913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9 de marzo de 2015</vt:lpstr>
    </vt:vector>
  </TitlesOfParts>
  <Company>Toshiba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9 de marzo de 2015</dc:title>
  <dc:subject/>
  <dc:creator>Omar Zooby</dc:creator>
  <cp:keywords/>
  <dc:description/>
  <cp:lastModifiedBy> </cp:lastModifiedBy>
  <cp:revision>17</cp:revision>
  <cp:lastPrinted>2015-03-23T16:30:00Z</cp:lastPrinted>
  <dcterms:created xsi:type="dcterms:W3CDTF">2015-03-19T13:35:00Z</dcterms:created>
  <dcterms:modified xsi:type="dcterms:W3CDTF">2015-05-05T20:34:00Z</dcterms:modified>
</cp:coreProperties>
</file>