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9D" w:rsidRDefault="00DB46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B469D" w:rsidRDefault="00DB46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B469D" w:rsidRDefault="00DB469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 DE   MARZO DE 2015</w:t>
      </w:r>
    </w:p>
    <w:p w:rsidR="00DB469D" w:rsidRPr="00DB469D" w:rsidRDefault="00DB469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DB469D">
        <w:rPr>
          <w:rFonts w:ascii="Helvetica" w:hAnsi="Helvetica"/>
          <w:b/>
        </w:rPr>
        <w:t xml:space="preserve">(E. E. Nº  2015-17-1-0001715, </w:t>
      </w:r>
      <w:proofErr w:type="spellStart"/>
      <w:r w:rsidRPr="00DB469D">
        <w:rPr>
          <w:rFonts w:ascii="Helvetica" w:hAnsi="Helvetica"/>
          <w:b/>
        </w:rPr>
        <w:t>Ent</w:t>
      </w:r>
      <w:proofErr w:type="spellEnd"/>
      <w:r w:rsidRPr="00DB469D">
        <w:rPr>
          <w:rFonts w:ascii="Helvetica" w:hAnsi="Helvetica"/>
          <w:b/>
        </w:rPr>
        <w:t>. N° 1428/15)</w:t>
      </w:r>
    </w:p>
    <w:p w:rsidR="00DB469D" w:rsidRPr="00DB469D" w:rsidRDefault="00DB469D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2E5D3A" w:rsidRPr="002E5D3A" w:rsidRDefault="002E5D3A" w:rsidP="002E5D3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ES"/>
        </w:rPr>
      </w:pPr>
      <w:r w:rsidRPr="002E5D3A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VISTO: </w:t>
      </w:r>
      <w:r w:rsidRPr="002E5D3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las actuaciones remitidas por la Contadora Delegada </w:t>
      </w:r>
      <w:r w:rsidR="001963D1">
        <w:rPr>
          <w:rFonts w:ascii="Arial" w:eastAsia="Times New Roman" w:hAnsi="Arial" w:cs="Arial"/>
          <w:sz w:val="24"/>
          <w:szCs w:val="20"/>
          <w:lang w:val="es-MX" w:eastAsia="es-ES"/>
        </w:rPr>
        <w:t>EN</w:t>
      </w:r>
      <w:r w:rsidRPr="002E5D3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la Intendencia de  Montevideo, relacionadas con el Acuerdo Complementario del Convenio de Cooperación</w:t>
      </w:r>
      <w:r w:rsidR="00B6177D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Técnico Profesional</w:t>
      </w:r>
      <w:r w:rsidRPr="002E5D3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entre la Comisión Administradora del Mercado Modelo (C.A.M.M.) y la Fundación Julio </w:t>
      </w:r>
      <w:proofErr w:type="spellStart"/>
      <w:r w:rsidRPr="002E5D3A">
        <w:rPr>
          <w:rFonts w:ascii="Arial" w:eastAsia="Times New Roman" w:hAnsi="Arial" w:cs="Arial"/>
          <w:sz w:val="24"/>
          <w:szCs w:val="20"/>
          <w:lang w:val="es-MX" w:eastAsia="es-ES"/>
        </w:rPr>
        <w:t>Ricaldoni</w:t>
      </w:r>
      <w:proofErr w:type="spellEnd"/>
      <w:r w:rsidRPr="002E5D3A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 la Facultad de Ingeniería de la Universidad de la República;  </w:t>
      </w:r>
    </w:p>
    <w:p w:rsidR="002E5D3A" w:rsidRPr="002E5D3A" w:rsidRDefault="002E5D3A" w:rsidP="002E5D3A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0"/>
          <w:highlight w:val="yellow"/>
          <w:lang w:val="es-MX" w:eastAsia="es-ES"/>
        </w:rPr>
      </w:pPr>
      <w:r w:rsidRPr="00966A80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RESULTANDO: 1) 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que por Resolución Nº 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2868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/12 de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fecha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9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/0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7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/012</w:t>
      </w:r>
      <w:r w:rsid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y su modificativa,</w:t>
      </w:r>
      <w:r w:rsidR="005001A7" w:rsidRPr="005001A7">
        <w:t xml:space="preserve"> </w:t>
      </w:r>
      <w:r w:rsidR="005001A7" w:rsidRP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Resolución </w:t>
      </w:r>
      <w:r w:rsidR="005F0C8B">
        <w:rPr>
          <w:rFonts w:ascii="Arial" w:eastAsia="Times New Roman" w:hAnsi="Arial" w:cs="Arial"/>
          <w:bCs/>
          <w:sz w:val="24"/>
          <w:szCs w:val="20"/>
          <w:lang w:val="es-MX" w:eastAsia="es-ES"/>
        </w:rPr>
        <w:t>N</w:t>
      </w:r>
      <w:r w:rsidR="005001A7" w:rsidRP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>º 4067/012, de fecha 24/09/012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l</w:t>
      </w:r>
      <w:r w:rsidR="00A01AE1"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a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Intendente dispuso la suscripción de un Convenio de Cooperación entre la</w:t>
      </w:r>
      <w:r w:rsidR="00A01AE1" w:rsidRPr="00966A80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C.A.M.M. y 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la Fundación </w:t>
      </w:r>
      <w:r w:rsidR="00527EC3">
        <w:rPr>
          <w:rFonts w:ascii="Arial" w:eastAsia="Times New Roman" w:hAnsi="Arial" w:cs="Arial"/>
          <w:bCs/>
          <w:sz w:val="24"/>
          <w:szCs w:val="20"/>
          <w:lang w:val="es-MX" w:eastAsia="es-ES"/>
        </w:rPr>
        <w:t>“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Julio </w:t>
      </w:r>
      <w:proofErr w:type="spellStart"/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Ricaldoni</w:t>
      </w:r>
      <w:proofErr w:type="spellEnd"/>
      <w:r w:rsidR="00527EC3">
        <w:rPr>
          <w:rFonts w:ascii="Arial" w:eastAsia="Times New Roman" w:hAnsi="Arial" w:cs="Arial"/>
          <w:bCs/>
          <w:sz w:val="24"/>
          <w:szCs w:val="20"/>
          <w:lang w:val="es-MX" w:eastAsia="es-ES"/>
        </w:rPr>
        <w:t>”</w:t>
      </w:r>
      <w:r w:rsidRP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de la Facultad de Ingeniería de la Universidad de la República</w:t>
      </w:r>
      <w:r w:rsid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con el objeto de cooperar con la C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.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A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.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M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.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M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.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, para impulsar desarrollos técnicos y científicos en todas las áreas de la Ingeniería, alineados con los objetivos del Programa Fondo para la Promoción de la Cali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dad Agroalimentaria (FOPROCA). 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Dicho 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C</w:t>
      </w:r>
      <w:r w:rsidR="00525BB1">
        <w:rPr>
          <w:rFonts w:ascii="Arial" w:eastAsia="Times New Roman" w:hAnsi="Arial" w:cs="Arial"/>
          <w:bCs/>
          <w:sz w:val="24"/>
          <w:szCs w:val="20"/>
          <w:lang w:val="es-MX" w:eastAsia="es-ES"/>
        </w:rPr>
        <w:t>onvenio</w:t>
      </w:r>
      <w:r w:rsidR="005F0C8B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fue </w:t>
      </w:r>
      <w:r w:rsid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>otorgado con fecha 2/10/012,</w:t>
      </w:r>
      <w:r w:rsidR="00966A80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por un monto </w:t>
      </w:r>
      <w:r w:rsidR="002D1BE1">
        <w:rPr>
          <w:rFonts w:ascii="Arial" w:eastAsia="Times New Roman" w:hAnsi="Arial" w:cs="Arial"/>
          <w:bCs/>
          <w:sz w:val="24"/>
          <w:szCs w:val="20"/>
          <w:lang w:val="es-MX" w:eastAsia="es-ES"/>
        </w:rPr>
        <w:t>de $ 4</w:t>
      </w:r>
      <w:r w:rsidR="001963D1">
        <w:rPr>
          <w:rFonts w:ascii="Arial" w:eastAsia="Times New Roman" w:hAnsi="Arial" w:cs="Arial"/>
          <w:bCs/>
          <w:sz w:val="24"/>
          <w:szCs w:val="20"/>
          <w:lang w:val="es-MX" w:eastAsia="es-ES"/>
        </w:rPr>
        <w:t>:</w:t>
      </w:r>
      <w:r w:rsidR="002D1BE1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500.000 por todo concepto y un plazo de 3 años, a partir del primer desembolso realizado </w:t>
      </w:r>
      <w:r w:rsidR="005001A7">
        <w:rPr>
          <w:rFonts w:ascii="Arial" w:eastAsia="Times New Roman" w:hAnsi="Arial" w:cs="Arial"/>
          <w:bCs/>
          <w:sz w:val="24"/>
          <w:szCs w:val="20"/>
          <w:lang w:val="es-MX" w:eastAsia="es-ES"/>
        </w:rPr>
        <w:t>(6/10/012)</w:t>
      </w:r>
      <w:r w:rsidR="00067C1E">
        <w:rPr>
          <w:rFonts w:ascii="Arial" w:eastAsia="Times New Roman" w:hAnsi="Arial" w:cs="Arial"/>
          <w:bCs/>
          <w:sz w:val="24"/>
          <w:szCs w:val="20"/>
          <w:lang w:val="es-MX" w:eastAsia="es-ES"/>
        </w:rPr>
        <w:t>. La financiación se realizará con cargo a fondos extrapresupuestales del FOPROCA</w:t>
      </w:r>
      <w:r w:rsidR="002D1BE1">
        <w:rPr>
          <w:rFonts w:ascii="Arial" w:eastAsia="Times New Roman" w:hAnsi="Arial" w:cs="Arial"/>
          <w:bCs/>
          <w:sz w:val="24"/>
          <w:szCs w:val="20"/>
          <w:lang w:val="es-MX" w:eastAsia="es-ES"/>
        </w:rPr>
        <w:t>;</w:t>
      </w:r>
    </w:p>
    <w:p w:rsidR="00DB469D" w:rsidRDefault="00DB469D" w:rsidP="00DB469D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 </w:t>
      </w:r>
      <w:r w:rsidR="002E5D3A" w:rsidRPr="003E71D7">
        <w:rPr>
          <w:rFonts w:ascii="Arial" w:eastAsia="Times New Roman" w:hAnsi="Arial" w:cs="Arial"/>
          <w:b/>
          <w:sz w:val="24"/>
          <w:szCs w:val="20"/>
          <w:lang w:val="es-MX" w:eastAsia="es-ES"/>
        </w:rPr>
        <w:t xml:space="preserve">2) </w:t>
      </w:r>
      <w:r w:rsidR="00891F59" w:rsidRP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que de conformidad con la </w:t>
      </w:r>
      <w:r w:rsidR="001963D1">
        <w:rPr>
          <w:rFonts w:ascii="Arial" w:eastAsia="Times New Roman" w:hAnsi="Arial" w:cs="Arial"/>
          <w:sz w:val="24"/>
          <w:szCs w:val="20"/>
          <w:lang w:val="es-MX" w:eastAsia="es-ES"/>
        </w:rPr>
        <w:t>C</w:t>
      </w:r>
      <w:r w:rsidR="00891F59" w:rsidRPr="0094144C">
        <w:rPr>
          <w:rFonts w:ascii="Arial" w:eastAsia="Times New Roman" w:hAnsi="Arial" w:cs="Arial"/>
          <w:sz w:val="24"/>
          <w:szCs w:val="20"/>
          <w:lang w:val="es-MX" w:eastAsia="es-ES"/>
        </w:rPr>
        <w:t>láusula 6ª del citado Convenio, la administración del mismo estará a cargo de la Fundación,</w:t>
      </w:r>
      <w:r w:rsidR="00DB5B70" w:rsidRP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la que percibirá por concepto de gastos de administración el 10% del total de los aportes recibidos de la CAMM, y</w:t>
      </w:r>
      <w:r w:rsidR="00891F59" w:rsidRP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deberá rendir cuentas de los diferentes aportes transferidos mediante certificación </w:t>
      </w:r>
      <w:r w:rsidR="001963D1">
        <w:rPr>
          <w:rFonts w:ascii="Arial" w:eastAsia="Times New Roman" w:hAnsi="Arial" w:cs="Arial"/>
          <w:sz w:val="24"/>
          <w:szCs w:val="20"/>
          <w:lang w:val="es-MX" w:eastAsia="es-ES"/>
        </w:rPr>
        <w:t>c</w:t>
      </w:r>
      <w:r w:rsidR="00891F59" w:rsidRPr="0094144C">
        <w:rPr>
          <w:rFonts w:ascii="Arial" w:eastAsia="Times New Roman" w:hAnsi="Arial" w:cs="Arial"/>
          <w:sz w:val="24"/>
          <w:szCs w:val="20"/>
          <w:lang w:val="es-MX" w:eastAsia="es-ES"/>
        </w:rPr>
        <w:t>ontable con Informe de Revisión Limitada</w:t>
      </w:r>
      <w:r w:rsidR="001963D1">
        <w:rPr>
          <w:rFonts w:ascii="Arial" w:eastAsia="Times New Roman" w:hAnsi="Arial" w:cs="Arial"/>
          <w:sz w:val="24"/>
          <w:szCs w:val="20"/>
          <w:lang w:val="es-MX" w:eastAsia="es-ES"/>
        </w:rPr>
        <w:t>,</w:t>
      </w:r>
      <w:r w:rsidR="00891F59" w:rsidRP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según lo </w:t>
      </w:r>
      <w:r w:rsidR="00067C1E" w:rsidRPr="0094144C">
        <w:rPr>
          <w:rFonts w:ascii="Arial" w:eastAsia="Times New Roman" w:hAnsi="Arial" w:cs="Arial"/>
          <w:sz w:val="24"/>
          <w:szCs w:val="20"/>
          <w:lang w:val="es-MX" w:eastAsia="es-ES"/>
        </w:rPr>
        <w:t>previsto por Resolución Nº 5375/08 de la Intendencia de Montevideo</w:t>
      </w:r>
      <w:r w:rsid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(</w:t>
      </w:r>
      <w:r w:rsidR="001963D1">
        <w:rPr>
          <w:rFonts w:ascii="Arial" w:eastAsia="Times New Roman" w:hAnsi="Arial" w:cs="Times New Roman"/>
          <w:sz w:val="24"/>
          <w:szCs w:val="20"/>
          <w:lang w:val="es-ES" w:eastAsia="es-ES"/>
        </w:rPr>
        <w:t>C</w:t>
      </w:r>
      <w:r w:rsidR="0094144C">
        <w:rPr>
          <w:rFonts w:ascii="Arial" w:eastAsia="Times New Roman" w:hAnsi="Arial" w:cs="Times New Roman"/>
          <w:sz w:val="24"/>
          <w:szCs w:val="20"/>
          <w:lang w:val="es-ES" w:eastAsia="es-ES"/>
        </w:rPr>
        <w:t>láusula Cuarta)</w:t>
      </w:r>
      <w:r w:rsidR="00067C1E" w:rsidRPr="0094144C">
        <w:rPr>
          <w:rFonts w:ascii="Arial" w:eastAsia="Times New Roman" w:hAnsi="Arial" w:cs="Arial"/>
          <w:sz w:val="24"/>
          <w:szCs w:val="20"/>
          <w:lang w:val="es-MX" w:eastAsia="es-ES"/>
        </w:rPr>
        <w:t xml:space="preserve">; </w:t>
      </w:r>
    </w:p>
    <w:p w:rsidR="002E5D3A" w:rsidRPr="00DB469D" w:rsidRDefault="00DB469D" w:rsidP="00DB469D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sz w:val="24"/>
          <w:szCs w:val="20"/>
          <w:lang w:val="es-MX" w:eastAsia="es-ES"/>
        </w:rPr>
        <w:lastRenderedPageBreak/>
        <w:t xml:space="preserve"> </w:t>
      </w:r>
      <w:r w:rsidR="0094144C" w:rsidRPr="0094144C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3)</w:t>
      </w:r>
      <w:r w:rsidR="0094144C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2E5D3A" w:rsidRP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>que</w:t>
      </w:r>
      <w:r w:rsid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>,</w:t>
      </w:r>
      <w:r w:rsidR="002E5D3A" w:rsidRP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  <w:r w:rsidR="002D1BE1" w:rsidRP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con fecha 30/07/012, </w:t>
      </w:r>
      <w:r w:rsid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la Contadora Delegada observa la totalidad del gasto, el cual </w:t>
      </w:r>
      <w:r w:rsidR="005F0C8B">
        <w:rPr>
          <w:rFonts w:ascii="Arial" w:eastAsia="Times New Roman" w:hAnsi="Arial" w:cs="Arial"/>
          <w:bCs/>
          <w:sz w:val="24"/>
          <w:szCs w:val="20"/>
          <w:lang w:val="es-MX" w:eastAsia="es-ES"/>
        </w:rPr>
        <w:t>fue</w:t>
      </w:r>
      <w:r w:rsid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reiterado por el Ordenador competente, por Resolución </w:t>
      </w:r>
      <w:r w:rsidR="005F0C8B">
        <w:rPr>
          <w:rFonts w:ascii="Arial" w:eastAsia="Times New Roman" w:hAnsi="Arial" w:cs="Arial"/>
          <w:bCs/>
          <w:sz w:val="24"/>
          <w:szCs w:val="20"/>
          <w:lang w:val="es-MX" w:eastAsia="es-ES"/>
        </w:rPr>
        <w:t>N</w:t>
      </w:r>
      <w:r w:rsidR="004E2589">
        <w:rPr>
          <w:rFonts w:ascii="Arial" w:eastAsia="Times New Roman" w:hAnsi="Arial" w:cs="Arial"/>
          <w:bCs/>
          <w:sz w:val="24"/>
          <w:szCs w:val="20"/>
          <w:lang w:val="es-MX" w:eastAsia="es-ES"/>
        </w:rPr>
        <w:t>º 3181/12, de fecha 30/12/012;</w:t>
      </w:r>
      <w:r w:rsidR="002E5D3A" w:rsidRPr="003E71D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</w:t>
      </w:r>
    </w:p>
    <w:p w:rsidR="00647B47" w:rsidRDefault="00DB469D" w:rsidP="00DB469D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 </w:t>
      </w:r>
      <w:r w:rsidR="0094144C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>4</w:t>
      </w:r>
      <w:r w:rsidR="002E5D3A" w:rsidRPr="00B6177D">
        <w:rPr>
          <w:rFonts w:ascii="Arial" w:eastAsia="Times New Roman" w:hAnsi="Arial" w:cs="Times New Roman"/>
          <w:b/>
          <w:sz w:val="24"/>
          <w:szCs w:val="20"/>
          <w:lang w:val="es-ES" w:eastAsia="es-ES"/>
        </w:rPr>
        <w:t xml:space="preserve">) </w:t>
      </w:r>
      <w:r w:rsidR="002E5D3A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que </w:t>
      </w:r>
      <w:r w:rsidR="004E2589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>la Intendente, por</w:t>
      </w:r>
      <w:r w:rsidR="00D10A7E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Resolución </w:t>
      </w:r>
      <w:r w:rsidR="005F0C8B">
        <w:rPr>
          <w:rFonts w:ascii="Arial" w:eastAsia="Times New Roman" w:hAnsi="Arial" w:cs="Times New Roman"/>
          <w:sz w:val="24"/>
          <w:szCs w:val="20"/>
          <w:lang w:val="es-ES" w:eastAsia="es-ES"/>
        </w:rPr>
        <w:t>N</w:t>
      </w:r>
      <w:r w:rsidR="00D10A7E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º 834/15, de fecha 23/02/015, </w:t>
      </w:r>
      <w:r w:rsidR="005001A7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dispuso la </w:t>
      </w:r>
      <w:r w:rsidR="00D10A7E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aprobación del </w:t>
      </w:r>
      <w:r w:rsidR="00C21D52">
        <w:rPr>
          <w:rFonts w:ascii="Arial" w:eastAsia="Times New Roman" w:hAnsi="Arial" w:cs="Times New Roman"/>
          <w:sz w:val="24"/>
          <w:szCs w:val="20"/>
          <w:lang w:val="es-ES" w:eastAsia="es-ES"/>
        </w:rPr>
        <w:t>P</w:t>
      </w:r>
      <w:r w:rsidR="00D10A7E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royecto de Acuerdo </w:t>
      </w:r>
      <w:r w:rsidR="00B6177D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>C</w:t>
      </w:r>
      <w:r w:rsidR="00F21B87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omplementario del Convenio de Cooperación </w:t>
      </w:r>
      <w:r w:rsidR="00B6177D" w:rsidRPr="00B6177D">
        <w:rPr>
          <w:rFonts w:ascii="Arial" w:eastAsia="Times New Roman" w:hAnsi="Arial" w:cs="Arial"/>
          <w:sz w:val="24"/>
          <w:szCs w:val="20"/>
          <w:lang w:val="es-MX" w:eastAsia="es-ES"/>
        </w:rPr>
        <w:t>Técnico Profesional</w:t>
      </w:r>
      <w:r w:rsidR="00C4084F">
        <w:rPr>
          <w:rFonts w:ascii="Arial" w:eastAsia="Times New Roman" w:hAnsi="Arial" w:cs="Arial"/>
          <w:sz w:val="24"/>
          <w:szCs w:val="20"/>
          <w:lang w:val="es-MX" w:eastAsia="es-ES"/>
        </w:rPr>
        <w:t xml:space="preserve">, por el cual </w:t>
      </w:r>
      <w:r w:rsidR="00F21B87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>la C.A.M.</w:t>
      </w:r>
      <w:r w:rsidR="004F2685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>M.</w:t>
      </w:r>
      <w:r w:rsidR="00C21D52">
        <w:rPr>
          <w:rFonts w:ascii="Arial" w:eastAsia="Times New Roman" w:hAnsi="Arial" w:cs="Times New Roman"/>
          <w:sz w:val="24"/>
          <w:szCs w:val="20"/>
          <w:lang w:val="es-ES" w:eastAsia="es-ES"/>
        </w:rPr>
        <w:t>,</w:t>
      </w:r>
      <w:r w:rsidR="00B6177D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94144C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en virtud de la ampliación que se acuerda, </w:t>
      </w:r>
      <w:r w:rsidR="00C4084F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se compromete a transferir a </w:t>
      </w:r>
      <w:r w:rsidR="00B6177D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la Fundación Julio </w:t>
      </w:r>
      <w:proofErr w:type="spellStart"/>
      <w:r w:rsidR="00B6177D" w:rsidRPr="00B6177D">
        <w:rPr>
          <w:rFonts w:ascii="Arial" w:eastAsia="Times New Roman" w:hAnsi="Arial" w:cs="Times New Roman"/>
          <w:sz w:val="24"/>
          <w:szCs w:val="20"/>
          <w:lang w:val="es-ES" w:eastAsia="es-ES"/>
        </w:rPr>
        <w:t>Ricaldoni</w:t>
      </w:r>
      <w:proofErr w:type="spellEnd"/>
      <w:r w:rsidR="00C21D52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 -</w:t>
      </w:r>
      <w:r w:rsidR="0094144C">
        <w:rPr>
          <w:rFonts w:ascii="Arial" w:eastAsia="Times New Roman" w:hAnsi="Arial" w:cs="Times New Roman"/>
          <w:sz w:val="24"/>
          <w:szCs w:val="20"/>
          <w:lang w:val="es-ES" w:eastAsia="es-ES"/>
        </w:rPr>
        <w:t>sin perjuicio del monto con</w:t>
      </w:r>
      <w:r w:rsidR="00C21D52">
        <w:rPr>
          <w:rFonts w:ascii="Arial" w:eastAsia="Times New Roman" w:hAnsi="Arial" w:cs="Times New Roman"/>
          <w:sz w:val="24"/>
          <w:szCs w:val="20"/>
          <w:lang w:val="es-ES" w:eastAsia="es-ES"/>
        </w:rPr>
        <w:t>venido en el Convenio original</w:t>
      </w:r>
      <w:r w:rsidR="0094144C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- la suma de </w:t>
      </w:r>
      <w:r w:rsidR="00C4084F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$ </w:t>
      </w:r>
      <w:r w:rsidR="0094144C">
        <w:rPr>
          <w:rFonts w:ascii="Arial" w:eastAsia="Times New Roman" w:hAnsi="Arial" w:cs="Times New Roman"/>
          <w:sz w:val="24"/>
          <w:szCs w:val="20"/>
          <w:lang w:val="es-ES" w:eastAsia="es-ES"/>
        </w:rPr>
        <w:t>2</w:t>
      </w:r>
      <w:r w:rsidR="00C21D52">
        <w:rPr>
          <w:rFonts w:ascii="Arial" w:eastAsia="Times New Roman" w:hAnsi="Arial" w:cs="Times New Roman"/>
          <w:sz w:val="24"/>
          <w:szCs w:val="20"/>
          <w:lang w:val="es-ES" w:eastAsia="es-ES"/>
        </w:rPr>
        <w:t>:</w:t>
      </w:r>
      <w:r w:rsidR="00C4084F">
        <w:rPr>
          <w:rFonts w:ascii="Arial" w:eastAsia="Times New Roman" w:hAnsi="Arial" w:cs="Times New Roman"/>
          <w:sz w:val="24"/>
          <w:szCs w:val="20"/>
          <w:lang w:val="es-ES" w:eastAsia="es-ES"/>
        </w:rPr>
        <w:t>500.000</w:t>
      </w:r>
      <w:r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B6177D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</w:t>
      </w:r>
      <w:r w:rsidR="002A53C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con cargo al año 2015, una vez </w:t>
      </w:r>
      <w:r w:rsidR="009A074F">
        <w:rPr>
          <w:rFonts w:ascii="Arial" w:eastAsia="Times New Roman" w:hAnsi="Arial" w:cs="Times New Roman"/>
          <w:sz w:val="24"/>
          <w:szCs w:val="20"/>
          <w:lang w:val="es-ES" w:eastAsia="es-ES"/>
        </w:rPr>
        <w:t>suscrito</w:t>
      </w:r>
      <w:r w:rsidR="002A53C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el mismo</w:t>
      </w:r>
      <w:r w:rsidR="00647B47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, con el objeto de profundizar en el asesoramiento, capacitación y extensión comercial a productores y demás integrantes de la cadena </w:t>
      </w:r>
      <w:r w:rsidR="0003267C">
        <w:rPr>
          <w:rFonts w:ascii="Arial" w:eastAsia="Times New Roman" w:hAnsi="Arial" w:cs="Times New Roman"/>
          <w:sz w:val="24"/>
          <w:szCs w:val="20"/>
          <w:lang w:val="es-ES" w:eastAsia="es-ES"/>
        </w:rPr>
        <w:t>hortofrutícola</w:t>
      </w:r>
      <w:r w:rsidR="00647B47">
        <w:rPr>
          <w:rFonts w:ascii="Arial" w:eastAsia="Times New Roman" w:hAnsi="Arial" w:cs="Times New Roman"/>
          <w:sz w:val="24"/>
          <w:szCs w:val="20"/>
          <w:lang w:val="es-ES" w:eastAsia="es-ES"/>
        </w:rPr>
        <w:t>, en control de calidad, entre otros</w:t>
      </w:r>
      <w:r w:rsidR="002A53C5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(Clausula Tercera)</w:t>
      </w:r>
      <w:r w:rsidR="00647B47">
        <w:rPr>
          <w:rFonts w:ascii="Arial" w:eastAsia="Times New Roman" w:hAnsi="Arial" w:cs="Times New Roman"/>
          <w:sz w:val="24"/>
          <w:szCs w:val="20"/>
          <w:lang w:val="es-ES" w:eastAsia="es-ES"/>
        </w:rPr>
        <w:t>;</w:t>
      </w:r>
    </w:p>
    <w:p w:rsidR="00C4084F" w:rsidRPr="00FB1027" w:rsidRDefault="00DB469D" w:rsidP="00DB469D">
      <w:pPr>
        <w:spacing w:after="0" w:line="360" w:lineRule="auto"/>
        <w:ind w:firstLine="2552"/>
        <w:jc w:val="both"/>
        <w:rPr>
          <w:rFonts w:ascii="Arial" w:eastAsia="Times New Roman" w:hAnsi="Arial" w:cs="Times New Roman"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</w:t>
      </w:r>
      <w:r w:rsidR="0094144C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5</w:t>
      </w:r>
      <w:r w:rsidR="002E5D3A" w:rsidRPr="00FB1027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)</w:t>
      </w:r>
      <w:r w:rsidR="002E5D3A" w:rsidRPr="00FB1027">
        <w:rPr>
          <w:rFonts w:ascii="Arial" w:eastAsia="Times New Roman" w:hAnsi="Arial" w:cs="Times New Roman"/>
          <w:sz w:val="24"/>
          <w:szCs w:val="20"/>
          <w:lang w:val="es-ES" w:eastAsia="es-ES"/>
        </w:rPr>
        <w:t xml:space="preserve"> que </w:t>
      </w:r>
      <w:r w:rsidR="00C4084F" w:rsidRPr="00FB1027">
        <w:rPr>
          <w:rFonts w:ascii="Arial" w:eastAsia="Times New Roman" w:hAnsi="Arial" w:cs="Times New Roman"/>
          <w:sz w:val="24"/>
          <w:szCs w:val="20"/>
          <w:lang w:val="es-ES" w:eastAsia="es-ES"/>
        </w:rPr>
        <w:t>consta información contable, de la que surge que el monto de la contratación se imputará con cargo al Ejercicio 2015, Presupuesto 2015, Actividad 309000173, Financiación 1, Derivado 559000;</w:t>
      </w:r>
    </w:p>
    <w:p w:rsidR="00851648" w:rsidRDefault="002E5D3A" w:rsidP="0085164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0"/>
          <w:lang w:val="es-ES" w:eastAsia="es-ES"/>
        </w:rPr>
      </w:pPr>
      <w:r w:rsidRPr="00FB1027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CONSIDERANDO:</w:t>
      </w:r>
      <w:r w:rsidR="001D13B8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1)</w:t>
      </w:r>
      <w:r w:rsidRPr="00FB1027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que conforme </w:t>
      </w:r>
      <w:r w:rsidR="00C21D52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con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l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as previsiones del A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rt</w:t>
      </w:r>
      <w:r w:rsidR="004D025D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ículo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33 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N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um</w:t>
      </w:r>
      <w:r w:rsidR="00F16C90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eral</w:t>
      </w:r>
      <w:r w:rsidR="004D025D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27</w:t>
      </w:r>
      <w:r w:rsidR="004D025D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)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del T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.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O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.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C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.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A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.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F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.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, </w:t>
      </w:r>
      <w:r w:rsidR="0075224A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los 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O</w:t>
      </w:r>
      <w:r w:rsidR="00FB1027"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rganismos señalados en el </w:t>
      </w:r>
      <w:r w:rsidR="004D025D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A</w:t>
      </w:r>
      <w:r w:rsidR="00FB1027"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rtículo 2 del Texto Ordenado,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podrá</w:t>
      </w:r>
      <w:r w:rsidR="0075224A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n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contratar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,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directamente o por el procedimiento que determine</w:t>
      </w:r>
      <w:r w:rsidR="0075224A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n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por razones de buena administración</w:t>
      </w:r>
      <w:r w:rsid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,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bienes o servicios</w:t>
      </w:r>
      <w:r w:rsidR="0075224A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, </w:t>
      </w:r>
      <w:r w:rsidRPr="00FB1027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>cualquiera sea su modalidad, con asociaciones y fundaciones vinculadas a la Universidad de la República;</w:t>
      </w:r>
    </w:p>
    <w:p w:rsidR="001D13B8" w:rsidRDefault="009A074F" w:rsidP="0085164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0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 xml:space="preserve">                                    </w:t>
      </w:r>
      <w:r w:rsidR="001D13B8" w:rsidRPr="00B31C78">
        <w:rPr>
          <w:rFonts w:ascii="Arial" w:eastAsia="Times New Roman" w:hAnsi="Arial" w:cs="Times New Roman"/>
          <w:b/>
          <w:bCs/>
          <w:sz w:val="24"/>
          <w:szCs w:val="20"/>
          <w:lang w:val="es-ES" w:eastAsia="es-ES"/>
        </w:rPr>
        <w:t>2)</w:t>
      </w:r>
      <w:r w:rsidR="001D13B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 </w:t>
      </w:r>
      <w:r w:rsidR="00B31C78">
        <w:rPr>
          <w:rFonts w:ascii="Arial" w:eastAsia="Times New Roman" w:hAnsi="Arial" w:cs="Times New Roman"/>
          <w:bCs/>
          <w:sz w:val="24"/>
          <w:szCs w:val="20"/>
          <w:lang w:val="es-ES" w:eastAsia="es-ES"/>
        </w:rPr>
        <w:t xml:space="preserve">que sin perjuicio de lo expresado, deberá darse cumplimiento a lo establecido por la Ordenanza Nº 77 en la redacción dada por Resolución de 2/8/2013, respecto a la rendición de los fondos aportados por la Administración (Informe de Rendición de Cuentas), en los plazos previstos por la citada Ordenanza; </w:t>
      </w:r>
    </w:p>
    <w:p w:rsidR="002E5D3A" w:rsidRPr="00851648" w:rsidRDefault="002E5D3A" w:rsidP="0085164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Cs/>
          <w:sz w:val="24"/>
          <w:szCs w:val="20"/>
          <w:lang w:val="es-ES" w:eastAsia="es-ES"/>
        </w:rPr>
      </w:pPr>
      <w:r w:rsidRPr="00FB1027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ATENTO: </w:t>
      </w:r>
      <w:r w:rsidRPr="00FB1027">
        <w:rPr>
          <w:rFonts w:ascii="Arial" w:eastAsia="Times New Roman" w:hAnsi="Arial" w:cs="Arial"/>
          <w:sz w:val="24"/>
          <w:szCs w:val="20"/>
          <w:lang w:val="es-ES" w:eastAsia="es-ES"/>
        </w:rPr>
        <w:t>a lo precedentemente expuesto</w:t>
      </w:r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 xml:space="preserve">, y a lo previsto por </w:t>
      </w:r>
      <w:r w:rsidR="00C21D52">
        <w:rPr>
          <w:rFonts w:ascii="Arial" w:eastAsia="Times New Roman" w:hAnsi="Arial" w:cs="Arial"/>
          <w:sz w:val="24"/>
          <w:szCs w:val="20"/>
          <w:lang w:val="es-ES" w:eastAsia="es-ES"/>
        </w:rPr>
        <w:t>e</w:t>
      </w:r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>l Art</w:t>
      </w:r>
      <w:r w:rsidR="00ED3045">
        <w:rPr>
          <w:rFonts w:ascii="Arial" w:eastAsia="Times New Roman" w:hAnsi="Arial" w:cs="Arial"/>
          <w:sz w:val="24"/>
          <w:szCs w:val="20"/>
          <w:lang w:val="es-ES" w:eastAsia="es-ES"/>
        </w:rPr>
        <w:t xml:space="preserve">ículo </w:t>
      </w:r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211 Lit</w:t>
      </w:r>
      <w:r w:rsidR="00ED3045">
        <w:rPr>
          <w:rFonts w:ascii="Arial" w:eastAsia="Times New Roman" w:hAnsi="Arial" w:cs="Arial"/>
          <w:sz w:val="24"/>
          <w:szCs w:val="20"/>
          <w:lang w:val="es-ES" w:eastAsia="es-ES"/>
        </w:rPr>
        <w:t>eral</w:t>
      </w:r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B) de la Constitución de la República</w:t>
      </w:r>
      <w:r w:rsidRPr="00FB1027">
        <w:rPr>
          <w:rFonts w:ascii="Arial" w:eastAsia="Times New Roman" w:hAnsi="Arial" w:cs="Arial"/>
          <w:sz w:val="24"/>
          <w:szCs w:val="20"/>
          <w:lang w:val="es-ES" w:eastAsia="es-ES"/>
        </w:rPr>
        <w:t>;</w:t>
      </w:r>
    </w:p>
    <w:p w:rsidR="002E5D3A" w:rsidRPr="00FB1027" w:rsidRDefault="002E5D3A" w:rsidP="002E5D3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2E5D3A" w:rsidRPr="00FB1027" w:rsidRDefault="002E5D3A" w:rsidP="002E5D3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MX" w:eastAsia="es-ES"/>
        </w:rPr>
      </w:pPr>
      <w:r w:rsidRPr="00FB1027">
        <w:rPr>
          <w:rFonts w:ascii="Arial" w:eastAsia="Times New Roman" w:hAnsi="Arial" w:cs="Arial"/>
          <w:b/>
          <w:sz w:val="24"/>
          <w:szCs w:val="20"/>
          <w:lang w:val="es-MX" w:eastAsia="es-ES"/>
        </w:rPr>
        <w:lastRenderedPageBreak/>
        <w:t>EL TRIBUNAL ACUERDA</w:t>
      </w:r>
      <w:r w:rsidRPr="00FB1027">
        <w:rPr>
          <w:rFonts w:ascii="Arial" w:eastAsia="Times New Roman" w:hAnsi="Arial" w:cs="Arial"/>
          <w:bCs/>
          <w:sz w:val="24"/>
          <w:szCs w:val="20"/>
          <w:lang w:val="es-MX" w:eastAsia="es-ES"/>
        </w:rPr>
        <w:t xml:space="preserve">                                                                              </w:t>
      </w:r>
    </w:p>
    <w:p w:rsidR="00B31C78" w:rsidRDefault="000E399A" w:rsidP="00ED304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sz w:val="24"/>
          <w:szCs w:val="20"/>
          <w:lang w:val="es-ES" w:eastAsia="es-ES"/>
        </w:rPr>
        <w:t>Cometer a la Contadora Delegada</w:t>
      </w:r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 xml:space="preserve"> la intervención del gasto, previo control del dictado de la </w:t>
      </w:r>
      <w:r>
        <w:rPr>
          <w:rFonts w:ascii="Arial" w:eastAsia="Times New Roman" w:hAnsi="Arial" w:cs="Arial"/>
          <w:sz w:val="24"/>
          <w:szCs w:val="20"/>
          <w:lang w:val="es-ES" w:eastAsia="es-ES"/>
        </w:rPr>
        <w:t>R</w:t>
      </w:r>
      <w:bookmarkStart w:id="0" w:name="_GoBack"/>
      <w:bookmarkEnd w:id="0"/>
      <w:r w:rsidR="00851648">
        <w:rPr>
          <w:rFonts w:ascii="Arial" w:eastAsia="Times New Roman" w:hAnsi="Arial" w:cs="Arial"/>
          <w:sz w:val="24"/>
          <w:szCs w:val="20"/>
          <w:lang w:val="es-ES" w:eastAsia="es-ES"/>
        </w:rPr>
        <w:t>esolución definitiva y verificación de disponibilidad en el rubro de imputación</w:t>
      </w:r>
      <w:r w:rsidR="002E5D3A" w:rsidRPr="00FB1027">
        <w:rPr>
          <w:rFonts w:ascii="Arial" w:eastAsia="Times New Roman" w:hAnsi="Arial" w:cs="Arial"/>
          <w:sz w:val="24"/>
          <w:szCs w:val="20"/>
          <w:lang w:val="es-ES" w:eastAsia="es-ES"/>
        </w:rPr>
        <w:t>;</w:t>
      </w:r>
    </w:p>
    <w:p w:rsidR="002E5D3A" w:rsidRPr="00FB1027" w:rsidRDefault="00B31C78" w:rsidP="00ED3045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eastAsia="Times New Roman" w:hAnsi="Arial" w:cs="Arial"/>
          <w:sz w:val="24"/>
          <w:szCs w:val="20"/>
          <w:lang w:val="es-ES" w:eastAsia="es-ES"/>
        </w:rPr>
        <w:t xml:space="preserve">Téngase presente lo expresado en el Considerando 2) de la presente Resolución; </w:t>
      </w:r>
      <w:r w:rsidR="002E5D3A" w:rsidRPr="00FB1027">
        <w:rPr>
          <w:rFonts w:ascii="Arial" w:eastAsia="Times New Roman" w:hAnsi="Arial" w:cs="Arial"/>
          <w:sz w:val="24"/>
          <w:szCs w:val="20"/>
          <w:lang w:val="es-ES" w:eastAsia="es-ES"/>
        </w:rPr>
        <w:t>y</w:t>
      </w:r>
    </w:p>
    <w:p w:rsidR="002E5D3A" w:rsidRPr="00FB1027" w:rsidRDefault="002E5D3A" w:rsidP="00ED3045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FB1027">
        <w:rPr>
          <w:rFonts w:ascii="Arial" w:eastAsia="Times New Roman" w:hAnsi="Arial" w:cs="Arial"/>
          <w:sz w:val="24"/>
          <w:szCs w:val="20"/>
          <w:lang w:val="es-ES" w:eastAsia="es-ES"/>
        </w:rPr>
        <w:t>Devolver las actuaciones.</w:t>
      </w:r>
    </w:p>
    <w:p w:rsidR="002E5D3A" w:rsidRPr="00FB1027" w:rsidRDefault="002E5D3A" w:rsidP="002E5D3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851648" w:rsidRDefault="00851648" w:rsidP="002E5D3A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851648" w:rsidRDefault="00851648" w:rsidP="00ED304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ED3045" w:rsidRDefault="00ED3045" w:rsidP="00ED304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ED3045" w:rsidRDefault="00ED3045" w:rsidP="00ED304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ED3045" w:rsidRDefault="00ED3045" w:rsidP="00ED304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</w:p>
    <w:p w:rsidR="00ED3045" w:rsidRPr="00ED3045" w:rsidRDefault="00ED3045" w:rsidP="00ED3045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proofErr w:type="spellStart"/>
      <w:proofErr w:type="gramStart"/>
      <w:r w:rsidRPr="00ED3045">
        <w:rPr>
          <w:rFonts w:ascii="Arial" w:eastAsia="Times New Roman" w:hAnsi="Arial" w:cs="Arial"/>
          <w:sz w:val="24"/>
          <w:szCs w:val="20"/>
          <w:lang w:val="es-ES" w:eastAsia="es-ES"/>
        </w:rPr>
        <w:t>cr</w:t>
      </w:r>
      <w:proofErr w:type="spellEnd"/>
      <w:proofErr w:type="gramEnd"/>
    </w:p>
    <w:sectPr w:rsidR="00ED3045" w:rsidRPr="00ED3045" w:rsidSect="00EC404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565DA"/>
    <w:multiLevelType w:val="hybridMultilevel"/>
    <w:tmpl w:val="F02C712A"/>
    <w:lvl w:ilvl="0" w:tplc="05341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E"/>
    <w:rsid w:val="0003267C"/>
    <w:rsid w:val="00067C1E"/>
    <w:rsid w:val="000E399A"/>
    <w:rsid w:val="000E7EDE"/>
    <w:rsid w:val="001963D1"/>
    <w:rsid w:val="001D13B8"/>
    <w:rsid w:val="002A53C5"/>
    <w:rsid w:val="002D1BE1"/>
    <w:rsid w:val="002E5D3A"/>
    <w:rsid w:val="003E71D7"/>
    <w:rsid w:val="00451AF2"/>
    <w:rsid w:val="00486B9E"/>
    <w:rsid w:val="004D025D"/>
    <w:rsid w:val="004E2589"/>
    <w:rsid w:val="004F2685"/>
    <w:rsid w:val="005001A7"/>
    <w:rsid w:val="00525BB1"/>
    <w:rsid w:val="00527EC3"/>
    <w:rsid w:val="005923ED"/>
    <w:rsid w:val="005C29F0"/>
    <w:rsid w:val="005F0C8B"/>
    <w:rsid w:val="00647B47"/>
    <w:rsid w:val="0075224A"/>
    <w:rsid w:val="00851648"/>
    <w:rsid w:val="00891F59"/>
    <w:rsid w:val="008D3A5F"/>
    <w:rsid w:val="0091557A"/>
    <w:rsid w:val="0094144C"/>
    <w:rsid w:val="00966A80"/>
    <w:rsid w:val="009A074F"/>
    <w:rsid w:val="00A01AE1"/>
    <w:rsid w:val="00B31C78"/>
    <w:rsid w:val="00B6177D"/>
    <w:rsid w:val="00C21D52"/>
    <w:rsid w:val="00C4084F"/>
    <w:rsid w:val="00D10A7E"/>
    <w:rsid w:val="00DB469D"/>
    <w:rsid w:val="00DB5B70"/>
    <w:rsid w:val="00EC4047"/>
    <w:rsid w:val="00ED3045"/>
    <w:rsid w:val="00F16C90"/>
    <w:rsid w:val="00F21B87"/>
    <w:rsid w:val="00FB1027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7E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7ED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Tribunal1</cp:lastModifiedBy>
  <cp:revision>9</cp:revision>
  <cp:lastPrinted>2015-04-06T19:26:00Z</cp:lastPrinted>
  <dcterms:created xsi:type="dcterms:W3CDTF">2015-04-06T15:43:00Z</dcterms:created>
  <dcterms:modified xsi:type="dcterms:W3CDTF">2015-04-06T19:26:00Z</dcterms:modified>
</cp:coreProperties>
</file>