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33" w:rsidRPr="00A85F33" w:rsidRDefault="00A85F33" w:rsidP="00A85F3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85F33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A85F33" w:rsidRPr="00A85F33" w:rsidRDefault="00A85F33" w:rsidP="00A85F3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85F33" w:rsidRPr="00A85F33" w:rsidRDefault="00A85F33" w:rsidP="00A85F3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85F33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A85F33" w:rsidRPr="00A85F33" w:rsidRDefault="00A85F33" w:rsidP="00A85F3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85F33" w:rsidRPr="00A85F33" w:rsidRDefault="00A85F33" w:rsidP="00A85F3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A85F33">
        <w:rPr>
          <w:rFonts w:ascii="Helvetica" w:hAnsi="Helvetica"/>
          <w:b/>
          <w:sz w:val="24"/>
          <w:szCs w:val="24"/>
          <w:lang w:val="es-ES_tradnl"/>
        </w:rPr>
        <w:t>EN SESION DE FECHA  25  DE   MARZO DE 2015</w:t>
      </w:r>
    </w:p>
    <w:p w:rsidR="00A85F33" w:rsidRPr="00A85F33" w:rsidRDefault="00A85F33" w:rsidP="00A85F3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85F33" w:rsidRPr="00A85F33" w:rsidRDefault="00A85F33" w:rsidP="00A85F3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A85F33">
        <w:rPr>
          <w:rFonts w:ascii="Helvetica" w:hAnsi="Helvetica"/>
          <w:b/>
          <w:sz w:val="24"/>
          <w:szCs w:val="24"/>
        </w:rPr>
        <w:t xml:space="preserve">(E. E. Nº 2015-17-1-0001447, </w:t>
      </w:r>
      <w:proofErr w:type="spellStart"/>
      <w:r w:rsidRPr="00A85F33">
        <w:rPr>
          <w:rFonts w:ascii="Helvetica" w:hAnsi="Helvetica"/>
          <w:b/>
          <w:sz w:val="24"/>
          <w:szCs w:val="24"/>
        </w:rPr>
        <w:t>Ent</w:t>
      </w:r>
      <w:proofErr w:type="spellEnd"/>
      <w:r w:rsidRPr="00A85F33">
        <w:rPr>
          <w:rFonts w:ascii="Helvetica" w:hAnsi="Helvetica"/>
          <w:b/>
          <w:sz w:val="24"/>
          <w:szCs w:val="24"/>
        </w:rPr>
        <w:t>. N° 1182/15)</w:t>
      </w:r>
    </w:p>
    <w:p w:rsidR="00A85F33" w:rsidRPr="00A85F33" w:rsidRDefault="00A85F33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A85F33" w:rsidRDefault="00541968" w:rsidP="00A85F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la Presidencia de la República-Oficina de Planeamiento y Presupuesto, relacionadas con la transferencia de </w:t>
      </w:r>
      <w:r w:rsidR="00A85F33">
        <w:rPr>
          <w:rFonts w:ascii="Arial" w:hAnsi="Arial" w:cs="Arial"/>
          <w:sz w:val="24"/>
          <w:szCs w:val="24"/>
          <w:lang w:val="es-ES"/>
        </w:rPr>
        <w:t>fondos a la Intendencia de San José</w:t>
      </w:r>
      <w:r>
        <w:rPr>
          <w:rFonts w:ascii="Arial" w:hAnsi="Arial" w:cs="Arial"/>
          <w:sz w:val="24"/>
          <w:szCs w:val="24"/>
          <w:lang w:val="es-ES"/>
        </w:rPr>
        <w:t>, en el marco de la Licitación Pública Internacional Nº 01/2014, financiada con cargo al Préstamo BID Nº 2668/OC-UR, convocada para la obra: Intervención urbanística en ingreso a la Ciudad de Libertad, sobre la Ruta 1 en su trazado antiguo;</w:t>
      </w:r>
    </w:p>
    <w:p w:rsidR="00A85F33" w:rsidRDefault="00541968" w:rsidP="00A85F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RESULTANDO: 1)</w:t>
      </w:r>
      <w:r>
        <w:rPr>
          <w:rFonts w:ascii="Arial" w:hAnsi="Arial" w:cs="Arial"/>
          <w:sz w:val="24"/>
          <w:szCs w:val="24"/>
          <w:lang w:val="es-ES"/>
        </w:rPr>
        <w:t xml:space="preserve"> que el Intendente de San José, por Resolución de fecha 15/10/014, adjudicó el procedimiento licitatorio a la firma MELITER S.</w:t>
      </w:r>
      <w:r w:rsidR="00A85F33">
        <w:rPr>
          <w:rFonts w:ascii="Arial" w:hAnsi="Arial" w:cs="Arial"/>
          <w:sz w:val="24"/>
          <w:szCs w:val="24"/>
          <w:lang w:val="es-ES"/>
        </w:rPr>
        <w:t>A., por un monto total de $ 133:029.274,58, impuestos y L</w:t>
      </w:r>
      <w:r>
        <w:rPr>
          <w:rFonts w:ascii="Arial" w:hAnsi="Arial" w:cs="Arial"/>
          <w:sz w:val="24"/>
          <w:szCs w:val="24"/>
          <w:lang w:val="es-ES"/>
        </w:rPr>
        <w:t xml:space="preserve">eyes </w:t>
      </w:r>
      <w:r w:rsidR="00A85F33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ociales incluidas;</w:t>
      </w:r>
    </w:p>
    <w:p w:rsidR="00A85F33" w:rsidRDefault="00541968" w:rsidP="00A85F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 xml:space="preserve">que el Tribunal, en Sesión de fecha 14/01/015, observó el gasto  en virtud de que: </w:t>
      </w:r>
      <w:r>
        <w:rPr>
          <w:rFonts w:ascii="Arial" w:hAnsi="Arial" w:cs="Arial"/>
          <w:b/>
          <w:bCs/>
          <w:sz w:val="24"/>
          <w:szCs w:val="24"/>
          <w:lang w:val="es-ES"/>
        </w:rPr>
        <w:t>2.1)</w:t>
      </w:r>
      <w:r>
        <w:rPr>
          <w:rFonts w:ascii="Arial" w:hAnsi="Arial" w:cs="Arial"/>
          <w:sz w:val="24"/>
          <w:szCs w:val="24"/>
          <w:lang w:val="es-ES"/>
        </w:rPr>
        <w:t xml:space="preserve"> no constaba el Acta de Apertura de Ofertas del procedimiento, contraviniendo la cláusula 24 del Pliego de Co</w:t>
      </w:r>
      <w:r w:rsidR="00A85F33">
        <w:rPr>
          <w:rFonts w:ascii="Arial" w:hAnsi="Arial" w:cs="Arial"/>
          <w:sz w:val="24"/>
          <w:szCs w:val="24"/>
          <w:lang w:val="es-ES"/>
        </w:rPr>
        <w:t>ndiciones Particulares y el Artículo</w:t>
      </w:r>
      <w:r>
        <w:rPr>
          <w:rFonts w:ascii="Arial" w:hAnsi="Arial" w:cs="Arial"/>
          <w:sz w:val="24"/>
          <w:szCs w:val="24"/>
          <w:lang w:val="es-ES"/>
        </w:rPr>
        <w:t xml:space="preserve"> 65 del T.O.C.A.F.; </w:t>
      </w:r>
      <w:r>
        <w:rPr>
          <w:rFonts w:ascii="Arial" w:hAnsi="Arial" w:cs="Arial"/>
          <w:b/>
          <w:bCs/>
          <w:sz w:val="24"/>
          <w:szCs w:val="24"/>
          <w:lang w:val="es-ES"/>
        </w:rPr>
        <w:t>2.2)</w:t>
      </w:r>
      <w:r>
        <w:rPr>
          <w:rFonts w:ascii="Arial" w:hAnsi="Arial" w:cs="Arial"/>
          <w:sz w:val="24"/>
          <w:szCs w:val="24"/>
          <w:lang w:val="es-ES"/>
        </w:rPr>
        <w:t xml:space="preserve"> no constaba el otorgamiento de la </w:t>
      </w:r>
      <w:r w:rsidR="00A85F33">
        <w:rPr>
          <w:rFonts w:ascii="Arial" w:hAnsi="Arial" w:cs="Arial"/>
          <w:sz w:val="24"/>
          <w:szCs w:val="24"/>
          <w:lang w:val="es-ES"/>
        </w:rPr>
        <w:t>vista previa establecida en el 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A85F33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67 del T.O.C.A.F., señalando que, si bien el procedimiento lic</w:t>
      </w:r>
      <w:r w:rsidR="00A85F33">
        <w:rPr>
          <w:rFonts w:ascii="Arial" w:hAnsi="Arial" w:cs="Arial"/>
          <w:sz w:val="24"/>
          <w:szCs w:val="24"/>
          <w:lang w:val="es-ES"/>
        </w:rPr>
        <w:t>itatorio se enmarcaba en el Artículo</w:t>
      </w:r>
      <w:r>
        <w:rPr>
          <w:rFonts w:ascii="Arial" w:hAnsi="Arial" w:cs="Arial"/>
          <w:sz w:val="24"/>
          <w:szCs w:val="24"/>
          <w:lang w:val="es-ES"/>
        </w:rPr>
        <w:t xml:space="preserve"> 45 del T.O.C.A.F., que establece que el procedimiento de contratación se regirá por las normas del contrato de préstamo, el mismo deberá respetar los principios generales de la contratación administrativa, a saber, el de igualdad de los oferentes y concurrencia en procedimientos competitivos; </w:t>
      </w:r>
      <w:r>
        <w:rPr>
          <w:rFonts w:ascii="Arial" w:hAnsi="Arial" w:cs="Arial"/>
          <w:b/>
          <w:bCs/>
          <w:sz w:val="24"/>
          <w:szCs w:val="24"/>
          <w:lang w:val="es-ES"/>
        </w:rPr>
        <w:t>2.3)</w:t>
      </w:r>
      <w:r>
        <w:rPr>
          <w:rFonts w:ascii="Arial" w:hAnsi="Arial" w:cs="Arial"/>
          <w:sz w:val="24"/>
          <w:szCs w:val="24"/>
          <w:lang w:val="es-ES"/>
        </w:rPr>
        <w:t xml:space="preserve"> que asimismo la Ley Nº 18.831, de Acceso a la Información Pública, establece que, de principio, toda información pública se rige por la transparencia, salvo que la misma se catalogue expresamente como secreta, reservada o confidencial, lo cual debe interpretarse en forma estricta por mandato expreso de dicha ley, y que la información confidencial sólo procede respecto de la oferta y a instancia </w:t>
      </w:r>
      <w:r>
        <w:rPr>
          <w:rFonts w:ascii="Arial" w:hAnsi="Arial" w:cs="Arial"/>
          <w:sz w:val="24"/>
          <w:szCs w:val="24"/>
          <w:lang w:val="es-ES"/>
        </w:rPr>
        <w:lastRenderedPageBreak/>
        <w:t>de los sujetos ofe</w:t>
      </w:r>
      <w:r w:rsidR="00A85F33">
        <w:rPr>
          <w:rFonts w:ascii="Arial" w:hAnsi="Arial" w:cs="Arial"/>
          <w:sz w:val="24"/>
          <w:szCs w:val="24"/>
          <w:lang w:val="es-ES"/>
        </w:rPr>
        <w:t>rentes en el procedimiento (Artículo 65 I</w:t>
      </w:r>
      <w:r>
        <w:rPr>
          <w:rFonts w:ascii="Arial" w:hAnsi="Arial" w:cs="Arial"/>
          <w:sz w:val="24"/>
          <w:szCs w:val="24"/>
          <w:lang w:val="es-ES"/>
        </w:rPr>
        <w:t>nciso 11 del T.O.C.A.F.</w:t>
      </w:r>
      <w:r w:rsidR="00A85F33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>, mientras que en la hipótesis de información reservada, la misma sólo puede ser catalogada por Acto Administrativo de la autoridad competente, extremos que no se configuren en las actuaciones;</w:t>
      </w:r>
    </w:p>
    <w:p w:rsidR="00A85F33" w:rsidRDefault="00541968" w:rsidP="00A85F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>que po</w:t>
      </w:r>
      <w:r w:rsidR="00A85F33">
        <w:rPr>
          <w:rFonts w:ascii="Arial" w:hAnsi="Arial" w:cs="Arial"/>
          <w:sz w:val="24"/>
          <w:szCs w:val="24"/>
          <w:lang w:val="es-ES"/>
        </w:rPr>
        <w:t xml:space="preserve">r Resolución de fecha 2/02/015, </w:t>
      </w:r>
      <w:r>
        <w:rPr>
          <w:rFonts w:ascii="Arial" w:hAnsi="Arial" w:cs="Arial"/>
          <w:sz w:val="24"/>
          <w:szCs w:val="24"/>
          <w:lang w:val="es-ES"/>
        </w:rPr>
        <w:t xml:space="preserve">el Intendente acordó reiterar el gasto, alegando que: </w:t>
      </w:r>
      <w:r>
        <w:rPr>
          <w:rFonts w:ascii="Arial" w:hAnsi="Arial" w:cs="Arial"/>
          <w:b/>
          <w:bCs/>
          <w:sz w:val="24"/>
          <w:szCs w:val="24"/>
          <w:lang w:val="es-ES"/>
        </w:rPr>
        <w:t>3.1)</w:t>
      </w:r>
      <w:r w:rsidR="00A85F33">
        <w:rPr>
          <w:rFonts w:ascii="Arial" w:hAnsi="Arial" w:cs="Arial"/>
          <w:sz w:val="24"/>
          <w:szCs w:val="24"/>
          <w:lang w:val="es-ES"/>
        </w:rPr>
        <w:t xml:space="preserve"> la aplicación del Artículo</w:t>
      </w:r>
      <w:r>
        <w:rPr>
          <w:rFonts w:ascii="Arial" w:hAnsi="Arial" w:cs="Arial"/>
          <w:sz w:val="24"/>
          <w:szCs w:val="24"/>
          <w:lang w:val="es-ES"/>
        </w:rPr>
        <w:t xml:space="preserve"> 67 del T.O.C.A.F. contraviene las disposiciones establecidas en el Contrato de Préstamo; </w:t>
      </w:r>
      <w:r>
        <w:rPr>
          <w:rFonts w:ascii="Arial" w:hAnsi="Arial" w:cs="Arial"/>
          <w:b/>
          <w:bCs/>
          <w:sz w:val="24"/>
          <w:szCs w:val="24"/>
          <w:lang w:val="es-ES"/>
        </w:rPr>
        <w:t>3.2)</w:t>
      </w:r>
      <w:r>
        <w:rPr>
          <w:rFonts w:ascii="Arial" w:hAnsi="Arial" w:cs="Arial"/>
          <w:sz w:val="24"/>
          <w:szCs w:val="24"/>
          <w:lang w:val="es-ES"/>
        </w:rPr>
        <w:t xml:space="preserve"> la obra proyectada presenta un alto interés social; </w:t>
      </w:r>
      <w:r>
        <w:rPr>
          <w:rFonts w:ascii="Arial" w:hAnsi="Arial" w:cs="Arial"/>
          <w:b/>
          <w:bCs/>
          <w:sz w:val="24"/>
          <w:szCs w:val="24"/>
          <w:lang w:val="es-ES"/>
        </w:rPr>
        <w:t>3.3)</w:t>
      </w:r>
      <w:r>
        <w:rPr>
          <w:rFonts w:ascii="Arial" w:hAnsi="Arial" w:cs="Arial"/>
          <w:sz w:val="24"/>
          <w:szCs w:val="24"/>
          <w:lang w:val="es-ES"/>
        </w:rPr>
        <w:t xml:space="preserve">  existen informes favorables del Tribunal de Cuentas a otras Intendencias, en el marco del Programa de Desarrollo y gestión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Subnacional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(PDGS);  y 3.4) el Acta de Apertura de Ofertas se encuentra agregado a fs. 835 </w:t>
      </w:r>
      <w:r w:rsidR="00A85F33">
        <w:rPr>
          <w:rFonts w:ascii="Arial" w:hAnsi="Arial" w:cs="Arial"/>
          <w:sz w:val="24"/>
          <w:szCs w:val="24"/>
          <w:lang w:val="es-ES"/>
        </w:rPr>
        <w:t>del procedimiento licitatorio;</w:t>
      </w:r>
    </w:p>
    <w:p w:rsidR="00A85F33" w:rsidRDefault="00541968" w:rsidP="00A85F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4) </w:t>
      </w:r>
      <w:r w:rsidR="00A85F33">
        <w:rPr>
          <w:rFonts w:ascii="Arial" w:hAnsi="Arial" w:cs="Arial"/>
          <w:sz w:val="24"/>
          <w:szCs w:val="24"/>
          <w:lang w:val="es-ES"/>
        </w:rPr>
        <w:t>que, en S</w:t>
      </w:r>
      <w:r>
        <w:rPr>
          <w:rFonts w:ascii="Arial" w:hAnsi="Arial" w:cs="Arial"/>
          <w:sz w:val="24"/>
          <w:szCs w:val="24"/>
          <w:lang w:val="es-ES"/>
        </w:rPr>
        <w:t>esión de fecha 4/03/015, el Tribunal acordó mantener la observación del gasto formulada con fecha 14/01/015, en virtud de que, si bien la Intendencia de San José acompañó el Acta de Apertura de ofertas en</w:t>
      </w:r>
      <w:r w:rsidR="00A85F3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el expediente licitatorio, en ajus</w:t>
      </w:r>
      <w:r w:rsidR="00A85F33">
        <w:rPr>
          <w:rFonts w:ascii="Arial" w:hAnsi="Arial" w:cs="Arial"/>
          <w:sz w:val="24"/>
          <w:szCs w:val="24"/>
          <w:lang w:val="es-ES"/>
        </w:rPr>
        <w:t>te a las previsiones de los Artículos</w:t>
      </w:r>
      <w:r>
        <w:rPr>
          <w:rFonts w:ascii="Arial" w:hAnsi="Arial" w:cs="Arial"/>
          <w:sz w:val="24"/>
          <w:szCs w:val="24"/>
          <w:lang w:val="es-ES"/>
        </w:rPr>
        <w:t xml:space="preserve"> 24 del Pliego de Condiciones Particulares y 65 del T.O.C.A.F., se mantienen las restantes causales de observación formuladas oportunamente;</w:t>
      </w:r>
    </w:p>
    <w:p w:rsidR="00A85F33" w:rsidRDefault="00541968" w:rsidP="00A85F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5) </w:t>
      </w:r>
      <w:r>
        <w:rPr>
          <w:rFonts w:ascii="Arial" w:hAnsi="Arial" w:cs="Arial"/>
          <w:sz w:val="24"/>
          <w:szCs w:val="24"/>
          <w:lang w:val="es-ES"/>
        </w:rPr>
        <w:t>que en esta oportunidad, la Oficina de Planeamiento y Presupuesto re</w:t>
      </w:r>
      <w:r w:rsidR="00A85F33">
        <w:rPr>
          <w:rFonts w:ascii="Arial" w:hAnsi="Arial" w:cs="Arial"/>
          <w:sz w:val="24"/>
          <w:szCs w:val="24"/>
          <w:lang w:val="es-ES"/>
        </w:rPr>
        <w:t>mito nota, identificada con el N</w:t>
      </w:r>
      <w:r>
        <w:rPr>
          <w:rFonts w:ascii="Arial" w:hAnsi="Arial" w:cs="Arial"/>
          <w:sz w:val="24"/>
          <w:szCs w:val="24"/>
          <w:lang w:val="es-ES"/>
        </w:rPr>
        <w:t>º 75-G- Gerencia-2015, de fecha 25/02/015, solicitando el dictamen del Tribunal sobre la transferencia, en el marco de la convocatoria en análisis, realizada por Presidencia a la Intendencia de</w:t>
      </w:r>
      <w:r w:rsidR="00A85F33">
        <w:rPr>
          <w:rFonts w:ascii="Arial" w:hAnsi="Arial" w:cs="Arial"/>
          <w:sz w:val="24"/>
          <w:szCs w:val="24"/>
          <w:lang w:val="es-ES"/>
        </w:rPr>
        <w:t xml:space="preserve"> San José, por un monto de $ 57:</w:t>
      </w:r>
      <w:r>
        <w:rPr>
          <w:rFonts w:ascii="Arial" w:hAnsi="Arial" w:cs="Arial"/>
          <w:sz w:val="24"/>
          <w:szCs w:val="24"/>
          <w:lang w:val="es-ES"/>
        </w:rPr>
        <w:t>873.20</w:t>
      </w:r>
      <w:r w:rsidR="00A85F33">
        <w:rPr>
          <w:rFonts w:ascii="Arial" w:hAnsi="Arial" w:cs="Arial"/>
          <w:sz w:val="24"/>
          <w:szCs w:val="24"/>
          <w:lang w:val="es-ES"/>
        </w:rPr>
        <w:t>3,90, adjuntándose proyecto de R</w:t>
      </w:r>
      <w:r>
        <w:rPr>
          <w:rFonts w:ascii="Arial" w:hAnsi="Arial" w:cs="Arial"/>
          <w:sz w:val="24"/>
          <w:szCs w:val="24"/>
          <w:lang w:val="es-ES"/>
        </w:rPr>
        <w:t>esolución a ser sus</w:t>
      </w:r>
      <w:r w:rsidR="00A85F33">
        <w:rPr>
          <w:rFonts w:ascii="Arial" w:hAnsi="Arial" w:cs="Arial"/>
          <w:sz w:val="24"/>
          <w:szCs w:val="24"/>
          <w:lang w:val="es-ES"/>
        </w:rPr>
        <w:t>crito por el Director de O.P.P.</w:t>
      </w:r>
    </w:p>
    <w:p w:rsidR="00541968" w:rsidRDefault="00541968" w:rsidP="00A85F3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6) </w:t>
      </w:r>
      <w:r>
        <w:rPr>
          <w:rFonts w:ascii="Arial" w:hAnsi="Arial" w:cs="Arial"/>
          <w:sz w:val="24"/>
          <w:szCs w:val="24"/>
          <w:lang w:val="es-ES"/>
        </w:rPr>
        <w:t>q</w:t>
      </w:r>
      <w:r w:rsidR="00A85F33">
        <w:rPr>
          <w:rFonts w:ascii="Arial" w:hAnsi="Arial" w:cs="Arial"/>
          <w:sz w:val="24"/>
          <w:szCs w:val="24"/>
          <w:lang w:val="es-ES"/>
        </w:rPr>
        <w:t>ue se agregan las afectaciones Nos.</w:t>
      </w:r>
      <w:r>
        <w:rPr>
          <w:rFonts w:ascii="Arial" w:hAnsi="Arial" w:cs="Arial"/>
          <w:sz w:val="24"/>
          <w:szCs w:val="24"/>
          <w:lang w:val="es-ES"/>
        </w:rPr>
        <w:t xml:space="preserve"> 241 (financiamiento 1.1) y 240 (financiamient</w:t>
      </w:r>
      <w:r w:rsidR="00A85F33">
        <w:rPr>
          <w:rFonts w:ascii="Arial" w:hAnsi="Arial" w:cs="Arial"/>
          <w:sz w:val="24"/>
          <w:szCs w:val="24"/>
          <w:lang w:val="es-ES"/>
        </w:rPr>
        <w:t>o 2.1), por un monto total de $57.873.204,</w:t>
      </w:r>
      <w:r>
        <w:rPr>
          <w:rFonts w:ascii="Arial" w:hAnsi="Arial" w:cs="Arial"/>
          <w:sz w:val="24"/>
          <w:szCs w:val="24"/>
          <w:lang w:val="es-ES"/>
        </w:rPr>
        <w:t xml:space="preserve"> con cargo al Ejercicio 2015;</w:t>
      </w:r>
    </w:p>
    <w:p w:rsidR="00A85F33" w:rsidRDefault="00541968" w:rsidP="00A85F3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CONSIDERANDO: 1) </w:t>
      </w:r>
      <w:r>
        <w:rPr>
          <w:rFonts w:ascii="Arial" w:hAnsi="Arial" w:cs="Arial"/>
          <w:sz w:val="24"/>
          <w:szCs w:val="24"/>
          <w:lang w:val="es-ES"/>
        </w:rPr>
        <w:t xml:space="preserve">que la transferencia a efectuarse por parte de Presidencia de la República, se realiza </w:t>
      </w:r>
      <w:r w:rsidR="00A85F33">
        <w:rPr>
          <w:rFonts w:ascii="Arial" w:hAnsi="Arial" w:cs="Arial"/>
          <w:sz w:val="24"/>
          <w:szCs w:val="24"/>
          <w:lang w:val="es-ES"/>
        </w:rPr>
        <w:t>en el marco del Préstamo BID Nº</w:t>
      </w:r>
      <w:r>
        <w:rPr>
          <w:rFonts w:ascii="Arial" w:hAnsi="Arial" w:cs="Arial"/>
          <w:sz w:val="24"/>
          <w:szCs w:val="24"/>
          <w:lang w:val="es-ES"/>
        </w:rPr>
        <w:t>2668/OC-UR;</w:t>
      </w:r>
    </w:p>
    <w:p w:rsidR="00541968" w:rsidRDefault="00541968" w:rsidP="00E43698">
      <w:pPr>
        <w:spacing w:after="0" w:line="360" w:lineRule="auto"/>
        <w:ind w:firstLine="2977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2) </w:t>
      </w:r>
      <w:r>
        <w:rPr>
          <w:rFonts w:ascii="Arial" w:hAnsi="Arial" w:cs="Arial"/>
          <w:sz w:val="24"/>
          <w:szCs w:val="24"/>
          <w:lang w:val="es-ES"/>
        </w:rPr>
        <w:t>que el monto, cuya transferencia se gestiona, está comprendido en el gasto de la Intendencia de San José, emergente de la Licitación Pública Internacional Nº 01/2014, financiada con cargo al Préstamo BID Nº 2668/OC-UR, sobre el cual recayó la observación del Tribunal de Cuentas, y el mantenimiento de la misma ante la reiteración por parte del Ordenador competente;</w:t>
      </w:r>
    </w:p>
    <w:p w:rsidR="00541968" w:rsidRDefault="00541968" w:rsidP="00E436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ATENTO:</w:t>
      </w:r>
      <w:r>
        <w:rPr>
          <w:rFonts w:ascii="Arial" w:hAnsi="Arial" w:cs="Arial"/>
          <w:sz w:val="24"/>
          <w:szCs w:val="24"/>
          <w:lang w:val="es-ES"/>
        </w:rPr>
        <w:t xml:space="preserve"> a lo expuesto ut sup</w:t>
      </w:r>
      <w:r w:rsidR="00E43698">
        <w:rPr>
          <w:rFonts w:ascii="Arial" w:hAnsi="Arial" w:cs="Arial"/>
          <w:sz w:val="24"/>
          <w:szCs w:val="24"/>
          <w:lang w:val="es-ES"/>
        </w:rPr>
        <w:t>ra, y a las previsiones del Artículo 211 L</w:t>
      </w:r>
      <w:r>
        <w:rPr>
          <w:rFonts w:ascii="Arial" w:hAnsi="Arial" w:cs="Arial"/>
          <w:sz w:val="24"/>
          <w:szCs w:val="24"/>
          <w:lang w:val="es-ES"/>
        </w:rPr>
        <w:t>it</w:t>
      </w:r>
      <w:r w:rsidR="00E43698">
        <w:rPr>
          <w:rFonts w:ascii="Arial" w:hAnsi="Arial" w:cs="Arial"/>
          <w:sz w:val="24"/>
          <w:szCs w:val="24"/>
          <w:lang w:val="es-ES"/>
        </w:rPr>
        <w:t>eral</w:t>
      </w:r>
      <w:r>
        <w:rPr>
          <w:rFonts w:ascii="Arial" w:hAnsi="Arial" w:cs="Arial"/>
          <w:sz w:val="24"/>
          <w:szCs w:val="24"/>
          <w:lang w:val="es-ES"/>
        </w:rPr>
        <w:t xml:space="preserve"> B</w:t>
      </w:r>
      <w:r w:rsidR="00E43698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de la Constitución de la República;</w:t>
      </w:r>
    </w:p>
    <w:p w:rsidR="00541968" w:rsidRDefault="00541968" w:rsidP="00E43698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</w:t>
      </w:r>
    </w:p>
    <w:p w:rsidR="00541968" w:rsidRDefault="00541968" w:rsidP="00E43698">
      <w:pPr>
        <w:pStyle w:val="Prrafodelista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Cometer </w:t>
      </w:r>
      <w:r w:rsidR="00E43698">
        <w:rPr>
          <w:rFonts w:ascii="Arial" w:hAnsi="Arial" w:cs="Arial"/>
          <w:sz w:val="24"/>
          <w:szCs w:val="24"/>
          <w:lang w:val="es-ES"/>
        </w:rPr>
        <w:t>a la Contadora Auditora destacada</w:t>
      </w:r>
      <w:bookmarkStart w:id="0" w:name="_GoBack"/>
      <w:bookmarkEnd w:id="0"/>
      <w:r w:rsidR="00E43698">
        <w:rPr>
          <w:rFonts w:ascii="Arial" w:hAnsi="Arial" w:cs="Arial"/>
          <w:sz w:val="24"/>
          <w:szCs w:val="24"/>
          <w:lang w:val="es-ES"/>
        </w:rPr>
        <w:t xml:space="preserve"> ante la</w:t>
      </w:r>
      <w:r>
        <w:rPr>
          <w:rFonts w:ascii="Arial" w:hAnsi="Arial" w:cs="Arial"/>
          <w:sz w:val="24"/>
          <w:szCs w:val="24"/>
          <w:lang w:val="es-ES"/>
        </w:rPr>
        <w:t xml:space="preserve"> Presidencia</w:t>
      </w:r>
      <w:r w:rsidR="00E43698">
        <w:rPr>
          <w:rFonts w:ascii="Arial" w:hAnsi="Arial" w:cs="Arial"/>
          <w:sz w:val="24"/>
          <w:szCs w:val="24"/>
          <w:lang w:val="es-ES"/>
        </w:rPr>
        <w:t xml:space="preserve"> de la República</w:t>
      </w:r>
      <w:r>
        <w:rPr>
          <w:rFonts w:ascii="Arial" w:hAnsi="Arial" w:cs="Arial"/>
          <w:sz w:val="24"/>
          <w:szCs w:val="24"/>
          <w:lang w:val="es-ES"/>
        </w:rPr>
        <w:t>, la intervención preventiva de la transferencia proyectada;</w:t>
      </w:r>
    </w:p>
    <w:p w:rsidR="00E43698" w:rsidRPr="00E43698" w:rsidRDefault="00E43698" w:rsidP="00E43698">
      <w:pPr>
        <w:pStyle w:val="Prrafodelista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Devolver las actuaciones.</w:t>
      </w:r>
    </w:p>
    <w:p w:rsidR="00E43698" w:rsidRDefault="00E43698" w:rsidP="00E4369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43698" w:rsidRDefault="00E43698" w:rsidP="00E4369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43698" w:rsidRDefault="00E43698" w:rsidP="00E4369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968" w:rsidRDefault="00E43698" w:rsidP="00E43698">
      <w:pPr>
        <w:pStyle w:val="Prrafodelista"/>
        <w:spacing w:line="360" w:lineRule="auto"/>
        <w:ind w:hanging="1287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proofErr w:type="gram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sectPr w:rsidR="00541968" w:rsidSect="00E43698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867"/>
    <w:multiLevelType w:val="hybridMultilevel"/>
    <w:tmpl w:val="79820A02"/>
    <w:lvl w:ilvl="0" w:tplc="42D8CC3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68"/>
    <w:rsid w:val="00541968"/>
    <w:rsid w:val="00A85F33"/>
    <w:rsid w:val="00E4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3843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 2015-17-1-0001447;</vt:lpstr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 2015-17-1-0001447;</dc:title>
  <dc:subject/>
  <dc:creator> </dc:creator>
  <cp:keywords/>
  <dc:description/>
  <cp:lastModifiedBy>Daniela Castro</cp:lastModifiedBy>
  <cp:revision>2</cp:revision>
  <dcterms:created xsi:type="dcterms:W3CDTF">2015-03-27T19:54:00Z</dcterms:created>
  <dcterms:modified xsi:type="dcterms:W3CDTF">2015-03-27T19:54:00Z</dcterms:modified>
</cp:coreProperties>
</file>