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5F8" w:rsidRPr="00724106" w:rsidRDefault="00B905F8" w:rsidP="00B905F8">
      <w:pPr>
        <w:spacing w:line="360" w:lineRule="auto"/>
        <w:jc w:val="center"/>
        <w:rPr>
          <w:rFonts w:ascii="Arial" w:hAnsi="Arial" w:cs="Arial"/>
          <w:bCs/>
          <w:color w:val="000000" w:themeColor="text1"/>
        </w:rPr>
      </w:pPr>
    </w:p>
    <w:p w:rsidR="00B905F8" w:rsidRPr="00B905F8" w:rsidRDefault="00B905F8" w:rsidP="001B280E">
      <w:pPr>
        <w:tabs>
          <w:tab w:val="center" w:pos="4253"/>
        </w:tabs>
        <w:suppressAutoHyphens/>
        <w:jc w:val="center"/>
        <w:rPr>
          <w:rFonts w:ascii="Arial" w:hAnsi="Arial" w:cs="Arial"/>
          <w:lang w:val="es-ES_tradnl"/>
        </w:rPr>
      </w:pPr>
      <w:r w:rsidRPr="00B905F8">
        <w:rPr>
          <w:rFonts w:ascii="Arial" w:hAnsi="Arial" w:cs="Arial"/>
          <w:lang w:val="es-ES_tradnl"/>
        </w:rPr>
        <w:t>RESOLUCION ADOPTADA POR EL</w:t>
      </w:r>
    </w:p>
    <w:p w:rsidR="00B905F8" w:rsidRPr="00B905F8" w:rsidRDefault="00B905F8" w:rsidP="001B280E">
      <w:pPr>
        <w:tabs>
          <w:tab w:val="left" w:pos="-720"/>
        </w:tabs>
        <w:suppressAutoHyphens/>
        <w:jc w:val="center"/>
        <w:rPr>
          <w:rFonts w:ascii="Arial" w:hAnsi="Arial" w:cs="Arial"/>
          <w:lang w:val="es-ES_tradnl"/>
        </w:rPr>
      </w:pPr>
    </w:p>
    <w:p w:rsidR="00B905F8" w:rsidRPr="00B905F8" w:rsidRDefault="00B905F8" w:rsidP="001B280E">
      <w:pPr>
        <w:tabs>
          <w:tab w:val="center" w:pos="4253"/>
        </w:tabs>
        <w:suppressAutoHyphens/>
        <w:jc w:val="center"/>
        <w:rPr>
          <w:rFonts w:ascii="Arial" w:hAnsi="Arial" w:cs="Arial"/>
          <w:lang w:val="es-ES_tradnl"/>
        </w:rPr>
      </w:pPr>
      <w:r w:rsidRPr="00B905F8">
        <w:rPr>
          <w:rFonts w:ascii="Arial" w:hAnsi="Arial" w:cs="Arial"/>
          <w:lang w:val="es-ES_tradnl"/>
        </w:rPr>
        <w:t>TRIBUNAL DE CUENTAS</w:t>
      </w:r>
    </w:p>
    <w:p w:rsidR="00B905F8" w:rsidRPr="00B905F8" w:rsidRDefault="00B905F8" w:rsidP="001B280E">
      <w:pPr>
        <w:tabs>
          <w:tab w:val="left" w:pos="-720"/>
        </w:tabs>
        <w:suppressAutoHyphens/>
        <w:jc w:val="center"/>
        <w:rPr>
          <w:rFonts w:ascii="Arial" w:hAnsi="Arial" w:cs="Arial"/>
          <w:lang w:val="es-ES_tradnl"/>
        </w:rPr>
      </w:pPr>
    </w:p>
    <w:p w:rsidR="00B905F8" w:rsidRPr="00B905F8" w:rsidRDefault="00B905F8" w:rsidP="001B280E">
      <w:pPr>
        <w:tabs>
          <w:tab w:val="center" w:pos="4253"/>
        </w:tabs>
        <w:suppressAutoHyphens/>
        <w:jc w:val="center"/>
        <w:rPr>
          <w:rFonts w:ascii="Arial" w:hAnsi="Arial" w:cs="Arial"/>
          <w:lang w:val="es-ES_tradnl"/>
        </w:rPr>
      </w:pPr>
      <w:r w:rsidRPr="00B905F8">
        <w:rPr>
          <w:rFonts w:ascii="Arial" w:hAnsi="Arial" w:cs="Arial"/>
          <w:lang w:val="es-ES_tradnl"/>
        </w:rPr>
        <w:t xml:space="preserve">EN SESION DE FECHA  </w:t>
      </w:r>
      <w:r>
        <w:rPr>
          <w:rFonts w:ascii="Arial" w:hAnsi="Arial" w:cs="Arial"/>
          <w:lang w:val="es-ES_tradnl"/>
        </w:rPr>
        <w:t>25</w:t>
      </w:r>
      <w:r w:rsidRPr="00B905F8">
        <w:rPr>
          <w:rFonts w:ascii="Arial" w:hAnsi="Arial" w:cs="Arial"/>
          <w:lang w:val="es-ES_tradnl"/>
        </w:rPr>
        <w:t xml:space="preserve"> DE MARZO DE 2015</w:t>
      </w:r>
    </w:p>
    <w:p w:rsidR="00B905F8" w:rsidRPr="00B905F8" w:rsidRDefault="00B905F8" w:rsidP="001B280E">
      <w:pPr>
        <w:tabs>
          <w:tab w:val="center" w:pos="4253"/>
        </w:tabs>
        <w:suppressAutoHyphens/>
        <w:jc w:val="center"/>
        <w:rPr>
          <w:rFonts w:ascii="Arial" w:hAnsi="Arial" w:cs="Arial"/>
          <w:lang w:val="es-ES_tradnl"/>
        </w:rPr>
      </w:pPr>
    </w:p>
    <w:p w:rsidR="00B905F8" w:rsidRPr="00B905F8" w:rsidRDefault="00B905F8" w:rsidP="001B280E">
      <w:pPr>
        <w:tabs>
          <w:tab w:val="center" w:pos="4253"/>
        </w:tabs>
        <w:suppressAutoHyphens/>
        <w:jc w:val="center"/>
        <w:rPr>
          <w:rFonts w:ascii="Arial" w:hAnsi="Arial" w:cs="Arial"/>
        </w:rPr>
      </w:pPr>
      <w:r w:rsidRPr="00B905F8">
        <w:rPr>
          <w:rFonts w:ascii="Arial" w:hAnsi="Arial" w:cs="Arial"/>
        </w:rPr>
        <w:t>(E. E. Nº 201</w:t>
      </w:r>
      <w:r>
        <w:rPr>
          <w:rFonts w:ascii="Arial" w:hAnsi="Arial" w:cs="Arial"/>
        </w:rPr>
        <w:t>5</w:t>
      </w:r>
      <w:r w:rsidRPr="00B905F8">
        <w:rPr>
          <w:rFonts w:ascii="Arial" w:hAnsi="Arial" w:cs="Arial"/>
        </w:rPr>
        <w:t>-17-1-000</w:t>
      </w:r>
      <w:r>
        <w:rPr>
          <w:rFonts w:ascii="Arial" w:hAnsi="Arial" w:cs="Arial"/>
        </w:rPr>
        <w:t>097</w:t>
      </w:r>
      <w:r w:rsidRPr="00B905F8">
        <w:rPr>
          <w:rFonts w:ascii="Arial" w:hAnsi="Arial" w:cs="Arial"/>
        </w:rPr>
        <w:t xml:space="preserve">, </w:t>
      </w:r>
      <w:proofErr w:type="spellStart"/>
      <w:r w:rsidRPr="00B905F8">
        <w:rPr>
          <w:rFonts w:ascii="Arial" w:hAnsi="Arial" w:cs="Arial"/>
        </w:rPr>
        <w:t>Ent</w:t>
      </w:r>
      <w:proofErr w:type="spellEnd"/>
      <w:r w:rsidRPr="00B905F8">
        <w:rPr>
          <w:rFonts w:ascii="Arial" w:hAnsi="Arial" w:cs="Arial"/>
        </w:rPr>
        <w:t>. N°</w:t>
      </w:r>
      <w:r>
        <w:rPr>
          <w:rFonts w:ascii="Arial" w:hAnsi="Arial" w:cs="Arial"/>
        </w:rPr>
        <w:t>1232</w:t>
      </w:r>
      <w:r w:rsidRPr="00B905F8">
        <w:rPr>
          <w:rFonts w:ascii="Arial" w:hAnsi="Arial" w:cs="Arial"/>
        </w:rPr>
        <w:t xml:space="preserve"> /1</w:t>
      </w:r>
      <w:r>
        <w:rPr>
          <w:rFonts w:ascii="Arial" w:hAnsi="Arial" w:cs="Arial"/>
        </w:rPr>
        <w:t>5</w:t>
      </w:r>
      <w:r w:rsidRPr="00B905F8">
        <w:rPr>
          <w:rFonts w:ascii="Arial" w:hAnsi="Arial" w:cs="Arial"/>
        </w:rPr>
        <w:t>)</w:t>
      </w:r>
    </w:p>
    <w:p w:rsidR="009C1DC9" w:rsidRPr="00724106" w:rsidRDefault="009C1DC9" w:rsidP="00576467">
      <w:pPr>
        <w:spacing w:line="360" w:lineRule="auto"/>
        <w:jc w:val="both"/>
        <w:rPr>
          <w:rFonts w:ascii="Arial" w:hAnsi="Arial" w:cs="Arial"/>
          <w:bCs/>
          <w:color w:val="000000" w:themeColor="text1"/>
        </w:rPr>
      </w:pPr>
    </w:p>
    <w:p w:rsidR="00576467" w:rsidRPr="00724106" w:rsidRDefault="009C1DC9" w:rsidP="00B905F8">
      <w:pPr>
        <w:spacing w:line="360" w:lineRule="auto"/>
        <w:ind w:firstLine="851"/>
        <w:jc w:val="both"/>
        <w:rPr>
          <w:rFonts w:ascii="Arial" w:hAnsi="Arial" w:cs="Arial"/>
          <w:b w:val="0"/>
          <w:bCs/>
          <w:color w:val="000000" w:themeColor="text1"/>
          <w:lang w:val="es-ES_tradnl"/>
        </w:rPr>
      </w:pPr>
      <w:r w:rsidRPr="00724106">
        <w:rPr>
          <w:rFonts w:ascii="Arial" w:hAnsi="Arial" w:cs="Arial"/>
          <w:bCs/>
          <w:color w:val="000000" w:themeColor="text1"/>
        </w:rPr>
        <w:t xml:space="preserve">VISTO: </w:t>
      </w:r>
      <w:r w:rsidRPr="00724106">
        <w:rPr>
          <w:rFonts w:ascii="Arial" w:hAnsi="Arial" w:cs="Arial"/>
          <w:b w:val="0"/>
          <w:bCs/>
          <w:color w:val="000000" w:themeColor="text1"/>
        </w:rPr>
        <w:t>las actuaciones remitidas por el</w:t>
      </w:r>
      <w:r w:rsidRPr="00724106">
        <w:rPr>
          <w:rFonts w:ascii="Arial" w:hAnsi="Arial" w:cs="Arial"/>
          <w:bCs/>
          <w:color w:val="000000" w:themeColor="text1"/>
        </w:rPr>
        <w:t xml:space="preserve"> </w:t>
      </w:r>
      <w:r w:rsidR="00576467" w:rsidRPr="00724106">
        <w:rPr>
          <w:rFonts w:ascii="Arial" w:hAnsi="Arial" w:cs="Arial"/>
          <w:b w:val="0"/>
          <w:color w:val="000000" w:themeColor="text1"/>
          <w:lang w:val="es-UY"/>
        </w:rPr>
        <w:t>Ministerio de</w:t>
      </w:r>
      <w:r w:rsidRPr="00724106">
        <w:rPr>
          <w:rFonts w:ascii="Arial" w:hAnsi="Arial" w:cs="Arial"/>
          <w:b w:val="0"/>
          <w:color w:val="000000" w:themeColor="text1"/>
          <w:lang w:val="es-UY"/>
        </w:rPr>
        <w:t xml:space="preserve"> Ganadería, Agricultura y Pesca relacionadas con </w:t>
      </w:r>
      <w:r w:rsidR="00B2624D" w:rsidRPr="00724106">
        <w:rPr>
          <w:rFonts w:ascii="Arial" w:hAnsi="Arial" w:cs="Arial"/>
          <w:b w:val="0"/>
          <w:color w:val="000000" w:themeColor="text1"/>
          <w:lang w:val="es-UY"/>
        </w:rPr>
        <w:t>la</w:t>
      </w:r>
      <w:r w:rsidRPr="00724106">
        <w:rPr>
          <w:rFonts w:ascii="Arial" w:hAnsi="Arial" w:cs="Arial"/>
          <w:b w:val="0"/>
          <w:color w:val="000000" w:themeColor="text1"/>
          <w:lang w:val="es-UY"/>
        </w:rPr>
        <w:t xml:space="preserve"> Licitación Pública Internacional </w:t>
      </w:r>
      <w:r w:rsidR="006307FC">
        <w:rPr>
          <w:rFonts w:ascii="Arial" w:hAnsi="Arial" w:cs="Arial"/>
          <w:b w:val="0"/>
          <w:color w:val="000000" w:themeColor="text1"/>
          <w:lang w:val="es-UY"/>
        </w:rPr>
        <w:t xml:space="preserve">        </w:t>
      </w:r>
      <w:r w:rsidRPr="00724106">
        <w:rPr>
          <w:rFonts w:ascii="Arial" w:hAnsi="Arial" w:cs="Arial"/>
          <w:b w:val="0"/>
          <w:color w:val="000000" w:themeColor="text1"/>
          <w:lang w:val="es-UY"/>
        </w:rPr>
        <w:t xml:space="preserve">Nº </w:t>
      </w:r>
      <w:r w:rsidRPr="00724106">
        <w:rPr>
          <w:rFonts w:ascii="Arial" w:hAnsi="Arial" w:cs="Arial"/>
          <w:b w:val="0"/>
          <w:color w:val="000000" w:themeColor="text1"/>
          <w:lang w:val="es-ES_tradnl"/>
        </w:rPr>
        <w:t xml:space="preserve">13/14, cuyo objeto es la </w:t>
      </w:r>
      <w:r w:rsidR="00576467" w:rsidRPr="00724106">
        <w:rPr>
          <w:rFonts w:ascii="Arial" w:hAnsi="Arial" w:cs="Arial"/>
          <w:b w:val="0"/>
          <w:color w:val="000000" w:themeColor="text1"/>
          <w:lang w:val="es-ES_tradnl"/>
        </w:rPr>
        <w:t>“Adquisición de hasta  3:550.000 pares de identificadores (Caravanas Visuales y RFID), Tecnología HDX, para la operación del Sistema de Identificación y Registro Animal (SIRA) en bovinos”.</w:t>
      </w:r>
    </w:p>
    <w:p w:rsidR="00576467" w:rsidRPr="00724106" w:rsidRDefault="009C1DC9" w:rsidP="00B905F8">
      <w:pPr>
        <w:spacing w:line="360" w:lineRule="auto"/>
        <w:ind w:firstLine="851"/>
        <w:jc w:val="both"/>
        <w:rPr>
          <w:color w:val="000000" w:themeColor="text1"/>
        </w:rPr>
      </w:pPr>
      <w:r w:rsidRPr="00724106">
        <w:rPr>
          <w:rFonts w:ascii="Arial" w:hAnsi="Arial" w:cs="Arial"/>
          <w:bCs/>
          <w:color w:val="000000" w:themeColor="text1"/>
          <w:lang w:val="es-ES_tradnl"/>
        </w:rPr>
        <w:t>RESULTANDO: 1)</w:t>
      </w:r>
      <w:r w:rsidRPr="00724106">
        <w:rPr>
          <w:rFonts w:ascii="Arial" w:hAnsi="Arial" w:cs="Arial"/>
          <w:b w:val="0"/>
          <w:bCs/>
          <w:color w:val="000000" w:themeColor="text1"/>
          <w:lang w:val="es-ES_tradnl"/>
        </w:rPr>
        <w:t xml:space="preserve"> que se efectuó la publicación en la página web de </w:t>
      </w:r>
      <w:r w:rsidR="00576467" w:rsidRPr="00724106">
        <w:rPr>
          <w:rFonts w:ascii="Arial" w:hAnsi="Arial" w:cs="Arial"/>
          <w:b w:val="0"/>
          <w:color w:val="000000" w:themeColor="text1"/>
        </w:rPr>
        <w:t>Compras y Contratacion</w:t>
      </w:r>
      <w:r w:rsidRPr="00724106">
        <w:rPr>
          <w:rFonts w:ascii="Arial" w:hAnsi="Arial" w:cs="Arial"/>
          <w:b w:val="0"/>
          <w:color w:val="000000" w:themeColor="text1"/>
        </w:rPr>
        <w:t xml:space="preserve">es Estatales con fecha </w:t>
      </w:r>
      <w:r w:rsidR="00576467" w:rsidRPr="00724106">
        <w:rPr>
          <w:rFonts w:ascii="Arial" w:hAnsi="Arial" w:cs="Arial"/>
          <w:b w:val="0"/>
          <w:color w:val="000000" w:themeColor="text1"/>
        </w:rPr>
        <w:t>1º</w:t>
      </w:r>
      <w:r w:rsidRPr="00724106">
        <w:rPr>
          <w:rFonts w:ascii="Arial" w:hAnsi="Arial" w:cs="Arial"/>
          <w:b w:val="0"/>
          <w:color w:val="000000" w:themeColor="text1"/>
        </w:rPr>
        <w:t xml:space="preserve"> de octubre de </w:t>
      </w:r>
      <w:r w:rsidR="00576467" w:rsidRPr="00724106">
        <w:rPr>
          <w:rFonts w:ascii="Arial" w:hAnsi="Arial" w:cs="Arial"/>
          <w:b w:val="0"/>
          <w:color w:val="000000" w:themeColor="text1"/>
        </w:rPr>
        <w:t>2014</w:t>
      </w:r>
      <w:r w:rsidR="00724106">
        <w:rPr>
          <w:rFonts w:ascii="Arial" w:hAnsi="Arial" w:cs="Arial"/>
          <w:b w:val="0"/>
          <w:color w:val="000000" w:themeColor="text1"/>
        </w:rPr>
        <w:t xml:space="preserve"> y en el Diario Oficial con fecha 3 de octubre de 2014</w:t>
      </w:r>
      <w:r w:rsidR="00DC2374">
        <w:rPr>
          <w:rFonts w:ascii="Arial" w:hAnsi="Arial" w:cs="Arial"/>
          <w:b w:val="0"/>
          <w:color w:val="000000" w:themeColor="text1"/>
        </w:rPr>
        <w:t>, sin perjuicio de otros medios de prensa escrita</w:t>
      </w:r>
      <w:r w:rsidRPr="00724106">
        <w:rPr>
          <w:rFonts w:ascii="Arial" w:hAnsi="Arial" w:cs="Arial"/>
          <w:b w:val="0"/>
          <w:color w:val="000000" w:themeColor="text1"/>
        </w:rPr>
        <w:t xml:space="preserve">; </w:t>
      </w:r>
    </w:p>
    <w:p w:rsidR="00576467" w:rsidRPr="00724106" w:rsidRDefault="009C1DC9" w:rsidP="00B905F8">
      <w:pPr>
        <w:pStyle w:val="Textoindependiente2"/>
        <w:ind w:firstLine="2694"/>
        <w:rPr>
          <w:color w:val="000000" w:themeColor="text1"/>
        </w:rPr>
      </w:pPr>
      <w:r w:rsidRPr="00724106">
        <w:rPr>
          <w:b/>
          <w:color w:val="000000" w:themeColor="text1"/>
        </w:rPr>
        <w:t>2)</w:t>
      </w:r>
      <w:r w:rsidRPr="00724106">
        <w:rPr>
          <w:color w:val="000000" w:themeColor="text1"/>
        </w:rPr>
        <w:t xml:space="preserve"> que luce Acta de Apertura de fecha 4 de noviembre de 2014</w:t>
      </w:r>
      <w:r w:rsidR="006307FC">
        <w:rPr>
          <w:color w:val="000000" w:themeColor="text1"/>
        </w:rPr>
        <w:t>,</w:t>
      </w:r>
      <w:r w:rsidRPr="00724106">
        <w:rPr>
          <w:color w:val="000000" w:themeColor="text1"/>
        </w:rPr>
        <w:t xml:space="preserve"> de la que surge que se presentaron las siguientes </w:t>
      </w:r>
      <w:r w:rsidR="006307FC">
        <w:rPr>
          <w:color w:val="000000" w:themeColor="text1"/>
        </w:rPr>
        <w:t>F</w:t>
      </w:r>
      <w:r w:rsidRPr="00724106">
        <w:rPr>
          <w:color w:val="000000" w:themeColor="text1"/>
        </w:rPr>
        <w:t xml:space="preserve">irmas: </w:t>
      </w:r>
      <w:proofErr w:type="spellStart"/>
      <w:r w:rsidRPr="00724106">
        <w:rPr>
          <w:color w:val="000000" w:themeColor="text1"/>
          <w:lang w:val="es-ES"/>
        </w:rPr>
        <w:t>L</w:t>
      </w:r>
      <w:r w:rsidR="006307FC" w:rsidRPr="00724106">
        <w:rPr>
          <w:color w:val="000000" w:themeColor="text1"/>
          <w:lang w:val="es-ES"/>
        </w:rPr>
        <w:t>emifar</w:t>
      </w:r>
      <w:proofErr w:type="spellEnd"/>
      <w:r w:rsidRPr="00724106">
        <w:rPr>
          <w:color w:val="000000" w:themeColor="text1"/>
          <w:lang w:val="es-ES"/>
        </w:rPr>
        <w:t xml:space="preserve"> S.A. – </w:t>
      </w:r>
      <w:proofErr w:type="spellStart"/>
      <w:r w:rsidRPr="00724106">
        <w:rPr>
          <w:color w:val="000000" w:themeColor="text1"/>
          <w:lang w:val="es-ES"/>
        </w:rPr>
        <w:t>A</w:t>
      </w:r>
      <w:r w:rsidR="006307FC" w:rsidRPr="00724106">
        <w:rPr>
          <w:color w:val="000000" w:themeColor="text1"/>
          <w:lang w:val="es-ES"/>
        </w:rPr>
        <w:t>llflex</w:t>
      </w:r>
      <w:proofErr w:type="spellEnd"/>
      <w:r w:rsidRPr="00724106">
        <w:rPr>
          <w:color w:val="000000" w:themeColor="text1"/>
          <w:lang w:val="es-ES"/>
        </w:rPr>
        <w:t xml:space="preserve"> y</w:t>
      </w:r>
      <w:r w:rsidR="00576467" w:rsidRPr="00724106">
        <w:rPr>
          <w:color w:val="000000" w:themeColor="text1"/>
          <w:lang w:val="es-ES"/>
        </w:rPr>
        <w:t xml:space="preserve"> </w:t>
      </w:r>
      <w:proofErr w:type="spellStart"/>
      <w:r w:rsidRPr="00724106">
        <w:rPr>
          <w:color w:val="000000" w:themeColor="text1"/>
          <w:lang w:val="es-ES"/>
        </w:rPr>
        <w:t>D</w:t>
      </w:r>
      <w:r w:rsidR="006307FC" w:rsidRPr="00724106">
        <w:rPr>
          <w:color w:val="000000" w:themeColor="text1"/>
          <w:lang w:val="es-ES"/>
        </w:rPr>
        <w:t>atamars</w:t>
      </w:r>
      <w:proofErr w:type="spellEnd"/>
      <w:r w:rsidRPr="00724106">
        <w:rPr>
          <w:color w:val="000000" w:themeColor="text1"/>
          <w:lang w:val="es-ES"/>
        </w:rPr>
        <w:t xml:space="preserve"> T</w:t>
      </w:r>
      <w:r w:rsidR="006307FC" w:rsidRPr="00724106">
        <w:rPr>
          <w:color w:val="000000" w:themeColor="text1"/>
          <w:lang w:val="es-ES"/>
        </w:rPr>
        <w:t>razabilidad</w:t>
      </w:r>
      <w:r w:rsidRPr="00724106">
        <w:rPr>
          <w:color w:val="000000" w:themeColor="text1"/>
          <w:lang w:val="es-ES"/>
        </w:rPr>
        <w:t xml:space="preserve"> S.A.; </w:t>
      </w:r>
    </w:p>
    <w:p w:rsidR="00576467" w:rsidRPr="00724106" w:rsidRDefault="009C1DC9" w:rsidP="00B905F8">
      <w:pPr>
        <w:pStyle w:val="Textoindependiente2"/>
        <w:ind w:firstLine="2694"/>
        <w:rPr>
          <w:color w:val="000000" w:themeColor="text1"/>
          <w:lang w:val="es-ES"/>
        </w:rPr>
      </w:pPr>
      <w:r w:rsidRPr="00724106">
        <w:rPr>
          <w:b/>
          <w:color w:val="000000" w:themeColor="text1"/>
        </w:rPr>
        <w:t>3)</w:t>
      </w:r>
      <w:r w:rsidRPr="00724106">
        <w:rPr>
          <w:color w:val="000000" w:themeColor="text1"/>
        </w:rPr>
        <w:t xml:space="preserve"> que con fecha 13 de noviembre de 2014 la Comisión Asesora de Adjudicaciones consideró que </w:t>
      </w:r>
      <w:r w:rsidR="00576467" w:rsidRPr="00724106">
        <w:rPr>
          <w:color w:val="000000" w:themeColor="text1"/>
        </w:rPr>
        <w:t>ambos oferentes dieron cumplimiento a los aspectos formales, en virtud de ello, se dispuso el pase al L</w:t>
      </w:r>
      <w:r w:rsidR="00B2624D" w:rsidRPr="00724106">
        <w:rPr>
          <w:color w:val="000000" w:themeColor="text1"/>
        </w:rPr>
        <w:t>.</w:t>
      </w:r>
      <w:r w:rsidR="00576467" w:rsidRPr="00724106">
        <w:rPr>
          <w:color w:val="000000" w:themeColor="text1"/>
        </w:rPr>
        <w:t>A</w:t>
      </w:r>
      <w:r w:rsidR="00B2624D" w:rsidRPr="00724106">
        <w:rPr>
          <w:color w:val="000000" w:themeColor="text1"/>
        </w:rPr>
        <w:t>.</w:t>
      </w:r>
      <w:r w:rsidR="00576467" w:rsidRPr="00724106">
        <w:rPr>
          <w:color w:val="000000" w:themeColor="text1"/>
        </w:rPr>
        <w:t>T</w:t>
      </w:r>
      <w:r w:rsidR="00B2624D" w:rsidRPr="00724106">
        <w:rPr>
          <w:color w:val="000000" w:themeColor="text1"/>
        </w:rPr>
        <w:t>.</w:t>
      </w:r>
      <w:r w:rsidR="00576467" w:rsidRPr="00724106">
        <w:rPr>
          <w:color w:val="000000" w:themeColor="text1"/>
        </w:rPr>
        <w:t>U</w:t>
      </w:r>
      <w:r w:rsidR="00B2624D" w:rsidRPr="00724106">
        <w:rPr>
          <w:color w:val="000000" w:themeColor="text1"/>
        </w:rPr>
        <w:t>.</w:t>
      </w:r>
      <w:r w:rsidR="00576467" w:rsidRPr="00724106">
        <w:rPr>
          <w:color w:val="000000" w:themeColor="text1"/>
        </w:rPr>
        <w:t xml:space="preserve"> de las muestras de caravanas, conforme </w:t>
      </w:r>
      <w:r w:rsidR="006307FC">
        <w:rPr>
          <w:color w:val="000000" w:themeColor="text1"/>
        </w:rPr>
        <w:t xml:space="preserve">con lo establecido en </w:t>
      </w:r>
      <w:r w:rsidR="00576467" w:rsidRPr="00724106">
        <w:rPr>
          <w:color w:val="000000" w:themeColor="text1"/>
        </w:rPr>
        <w:t>l</w:t>
      </w:r>
      <w:r w:rsidR="006307FC">
        <w:rPr>
          <w:color w:val="000000" w:themeColor="text1"/>
        </w:rPr>
        <w:t>os</w:t>
      </w:r>
      <w:r w:rsidR="00576467" w:rsidRPr="00724106">
        <w:rPr>
          <w:color w:val="000000" w:themeColor="text1"/>
        </w:rPr>
        <w:t xml:space="preserve"> </w:t>
      </w:r>
      <w:r w:rsidR="006307FC">
        <w:rPr>
          <w:color w:val="000000" w:themeColor="text1"/>
        </w:rPr>
        <w:t>N</w:t>
      </w:r>
      <w:r w:rsidR="00576467" w:rsidRPr="00724106">
        <w:rPr>
          <w:color w:val="000000" w:themeColor="text1"/>
        </w:rPr>
        <w:t>umeral</w:t>
      </w:r>
      <w:r w:rsidR="006307FC">
        <w:rPr>
          <w:color w:val="000000" w:themeColor="text1"/>
        </w:rPr>
        <w:t>es</w:t>
      </w:r>
      <w:r w:rsidR="00576467" w:rsidRPr="00724106">
        <w:rPr>
          <w:color w:val="000000" w:themeColor="text1"/>
        </w:rPr>
        <w:t xml:space="preserve"> 1.4 </w:t>
      </w:r>
      <w:r w:rsidRPr="00724106">
        <w:rPr>
          <w:color w:val="000000" w:themeColor="text1"/>
        </w:rPr>
        <w:t xml:space="preserve">y 2.7 del Pliego de Condiciones; </w:t>
      </w:r>
    </w:p>
    <w:p w:rsidR="00576467" w:rsidRPr="00724106" w:rsidRDefault="002D0318" w:rsidP="00B905F8">
      <w:pPr>
        <w:spacing w:line="360" w:lineRule="auto"/>
        <w:ind w:firstLine="2694"/>
        <w:jc w:val="both"/>
        <w:rPr>
          <w:rFonts w:ascii="Arial" w:hAnsi="Arial" w:cs="Arial"/>
          <w:color w:val="000000" w:themeColor="text1"/>
        </w:rPr>
      </w:pPr>
      <w:r w:rsidRPr="00724106">
        <w:rPr>
          <w:rFonts w:ascii="Arial" w:hAnsi="Arial" w:cs="Arial"/>
          <w:color w:val="000000" w:themeColor="text1"/>
        </w:rPr>
        <w:t xml:space="preserve">4) </w:t>
      </w:r>
      <w:r w:rsidRPr="00724106">
        <w:rPr>
          <w:rFonts w:ascii="Arial" w:hAnsi="Arial" w:cs="Arial"/>
          <w:b w:val="0"/>
          <w:color w:val="000000" w:themeColor="text1"/>
        </w:rPr>
        <w:t xml:space="preserve">que la Comisión Asesora de Adjudicaciones con fecha </w:t>
      </w:r>
      <w:r w:rsidR="00BA6430" w:rsidRPr="00724106">
        <w:rPr>
          <w:rFonts w:ascii="Arial" w:hAnsi="Arial" w:cs="Arial"/>
          <w:b w:val="0"/>
          <w:color w:val="000000" w:themeColor="text1"/>
        </w:rPr>
        <w:t xml:space="preserve">13 de noviembre de 2014, </w:t>
      </w:r>
      <w:r w:rsidR="00576467" w:rsidRPr="00724106">
        <w:rPr>
          <w:rFonts w:ascii="Arial" w:hAnsi="Arial" w:cs="Arial"/>
          <w:b w:val="0"/>
          <w:color w:val="000000" w:themeColor="text1"/>
        </w:rPr>
        <w:t xml:space="preserve">teniendo en cuenta la información presentada por los oferentes en la </w:t>
      </w:r>
      <w:r w:rsidR="006307FC">
        <w:rPr>
          <w:rFonts w:ascii="Arial" w:hAnsi="Arial" w:cs="Arial"/>
          <w:b w:val="0"/>
          <w:color w:val="000000" w:themeColor="text1"/>
        </w:rPr>
        <w:t>L</w:t>
      </w:r>
      <w:r w:rsidR="00576467" w:rsidRPr="00724106">
        <w:rPr>
          <w:rFonts w:ascii="Arial" w:hAnsi="Arial" w:cs="Arial"/>
          <w:b w:val="0"/>
          <w:color w:val="000000" w:themeColor="text1"/>
        </w:rPr>
        <w:t>icitación a los efectos de ser e</w:t>
      </w:r>
      <w:r w:rsidRPr="00724106">
        <w:rPr>
          <w:rFonts w:ascii="Arial" w:hAnsi="Arial" w:cs="Arial"/>
          <w:b w:val="0"/>
          <w:color w:val="000000" w:themeColor="text1"/>
        </w:rPr>
        <w:t>valuada, solicitó</w:t>
      </w:r>
      <w:r w:rsidR="00576467" w:rsidRPr="00724106">
        <w:rPr>
          <w:rFonts w:ascii="Arial" w:hAnsi="Arial" w:cs="Arial"/>
          <w:b w:val="0"/>
          <w:color w:val="000000" w:themeColor="text1"/>
        </w:rPr>
        <w:t xml:space="preserve"> a l</w:t>
      </w:r>
      <w:r w:rsidRPr="00724106">
        <w:rPr>
          <w:rFonts w:ascii="Arial" w:hAnsi="Arial" w:cs="Arial"/>
          <w:b w:val="0"/>
          <w:color w:val="000000" w:themeColor="text1"/>
        </w:rPr>
        <w:t>a Directora del SNIG que realizara</w:t>
      </w:r>
      <w:r w:rsidR="00576467" w:rsidRPr="00724106">
        <w:rPr>
          <w:rFonts w:ascii="Arial" w:hAnsi="Arial" w:cs="Arial"/>
          <w:b w:val="0"/>
          <w:color w:val="000000" w:themeColor="text1"/>
        </w:rPr>
        <w:t xml:space="preserve"> un orden de prelación por importancia de la lista de países que se mencionan, tomando como referencia los siguientes factores: uso de la tecnología HDX en bovinos, de importancia </w:t>
      </w:r>
      <w:r w:rsidR="00576467" w:rsidRPr="00724106">
        <w:rPr>
          <w:rFonts w:ascii="Arial" w:hAnsi="Arial" w:cs="Arial"/>
          <w:b w:val="0"/>
          <w:color w:val="000000" w:themeColor="text1"/>
        </w:rPr>
        <w:lastRenderedPageBreak/>
        <w:t>de mercados, por mercados de carne, consistencia en el sistema de trazabilidad, etc</w:t>
      </w:r>
      <w:r w:rsidR="00B2624D" w:rsidRPr="00724106">
        <w:rPr>
          <w:rFonts w:ascii="Arial" w:hAnsi="Arial" w:cs="Arial"/>
          <w:b w:val="0"/>
          <w:color w:val="000000" w:themeColor="text1"/>
        </w:rPr>
        <w:t xml:space="preserve">.; </w:t>
      </w:r>
      <w:r w:rsidRPr="00724106">
        <w:rPr>
          <w:rFonts w:ascii="Arial" w:hAnsi="Arial" w:cs="Arial"/>
          <w:b w:val="0"/>
          <w:color w:val="000000" w:themeColor="text1"/>
        </w:rPr>
        <w:t xml:space="preserve"> </w:t>
      </w:r>
    </w:p>
    <w:p w:rsidR="00576467" w:rsidRPr="00724106" w:rsidRDefault="00BA6430" w:rsidP="00B905F8">
      <w:pPr>
        <w:spacing w:line="360" w:lineRule="auto"/>
        <w:ind w:firstLine="2694"/>
        <w:jc w:val="both"/>
        <w:rPr>
          <w:rFonts w:ascii="Arial" w:hAnsi="Arial" w:cs="Arial"/>
          <w:b w:val="0"/>
          <w:color w:val="000000" w:themeColor="text1"/>
        </w:rPr>
      </w:pPr>
      <w:r w:rsidRPr="00724106">
        <w:rPr>
          <w:rFonts w:ascii="Arial" w:hAnsi="Arial" w:cs="Arial"/>
          <w:color w:val="000000" w:themeColor="text1"/>
        </w:rPr>
        <w:t xml:space="preserve">5) </w:t>
      </w:r>
      <w:r w:rsidRPr="00724106">
        <w:rPr>
          <w:rFonts w:ascii="Arial" w:hAnsi="Arial" w:cs="Arial"/>
          <w:b w:val="0"/>
          <w:color w:val="000000" w:themeColor="text1"/>
        </w:rPr>
        <w:t xml:space="preserve">que </w:t>
      </w:r>
      <w:r w:rsidR="00641622" w:rsidRPr="00724106">
        <w:rPr>
          <w:rFonts w:ascii="Arial" w:hAnsi="Arial" w:cs="Arial"/>
          <w:b w:val="0"/>
          <w:color w:val="000000" w:themeColor="text1"/>
        </w:rPr>
        <w:t xml:space="preserve">con fecha 21 de noviembre de 2014 la Comisión Asesora de Adjudicaciones solicitó a la </w:t>
      </w:r>
      <w:r w:rsidR="00DD6273">
        <w:rPr>
          <w:rFonts w:ascii="Arial" w:hAnsi="Arial" w:cs="Arial"/>
          <w:b w:val="0"/>
          <w:color w:val="000000" w:themeColor="text1"/>
        </w:rPr>
        <w:t>F</w:t>
      </w:r>
      <w:r w:rsidR="00641622" w:rsidRPr="00724106">
        <w:rPr>
          <w:rFonts w:ascii="Arial" w:hAnsi="Arial" w:cs="Arial"/>
          <w:b w:val="0"/>
          <w:color w:val="000000" w:themeColor="text1"/>
        </w:rPr>
        <w:t xml:space="preserve">irma </w:t>
      </w:r>
      <w:proofErr w:type="spellStart"/>
      <w:r w:rsidR="00576467" w:rsidRPr="00724106">
        <w:rPr>
          <w:rFonts w:ascii="Arial" w:hAnsi="Arial" w:cs="Arial"/>
          <w:b w:val="0"/>
          <w:color w:val="000000" w:themeColor="text1"/>
        </w:rPr>
        <w:t>D</w:t>
      </w:r>
      <w:r w:rsidR="00DD6273" w:rsidRPr="00724106">
        <w:rPr>
          <w:rFonts w:ascii="Arial" w:hAnsi="Arial" w:cs="Arial"/>
          <w:b w:val="0"/>
          <w:color w:val="000000" w:themeColor="text1"/>
        </w:rPr>
        <w:t>atamars</w:t>
      </w:r>
      <w:proofErr w:type="spellEnd"/>
      <w:r w:rsidR="00576467" w:rsidRPr="00724106">
        <w:rPr>
          <w:rFonts w:ascii="Arial" w:hAnsi="Arial" w:cs="Arial"/>
          <w:b w:val="0"/>
          <w:color w:val="000000" w:themeColor="text1"/>
        </w:rPr>
        <w:t xml:space="preserve"> </w:t>
      </w:r>
      <w:r w:rsidR="00641622" w:rsidRPr="00724106">
        <w:rPr>
          <w:rFonts w:ascii="Arial" w:hAnsi="Arial" w:cs="Arial"/>
          <w:b w:val="0"/>
          <w:color w:val="000000" w:themeColor="text1"/>
        </w:rPr>
        <w:t>T</w:t>
      </w:r>
      <w:r w:rsidR="00DD6273" w:rsidRPr="00724106">
        <w:rPr>
          <w:rFonts w:ascii="Arial" w:hAnsi="Arial" w:cs="Arial"/>
          <w:b w:val="0"/>
          <w:color w:val="000000" w:themeColor="text1"/>
        </w:rPr>
        <w:t>razabilidad</w:t>
      </w:r>
      <w:r w:rsidR="00641622" w:rsidRPr="00724106">
        <w:rPr>
          <w:rFonts w:ascii="Arial" w:hAnsi="Arial" w:cs="Arial"/>
          <w:b w:val="0"/>
          <w:color w:val="000000" w:themeColor="text1"/>
        </w:rPr>
        <w:t xml:space="preserve"> </w:t>
      </w:r>
      <w:r w:rsidR="00576467" w:rsidRPr="00724106">
        <w:rPr>
          <w:rFonts w:ascii="Arial" w:hAnsi="Arial" w:cs="Arial"/>
          <w:b w:val="0"/>
          <w:color w:val="000000" w:themeColor="text1"/>
        </w:rPr>
        <w:t xml:space="preserve">S.A. que acreditara notarialmente información sobre la vinculación jurídica con las empresas que según los antecedentes presentados fueron vendedoras de las caravanas, a vía de ejemplo </w:t>
      </w:r>
      <w:proofErr w:type="spellStart"/>
      <w:r w:rsidR="00576467" w:rsidRPr="00724106">
        <w:rPr>
          <w:rFonts w:ascii="Arial" w:hAnsi="Arial" w:cs="Arial"/>
          <w:b w:val="0"/>
          <w:color w:val="000000" w:themeColor="text1"/>
        </w:rPr>
        <w:t>L</w:t>
      </w:r>
      <w:r w:rsidR="00DD6273" w:rsidRPr="00724106">
        <w:rPr>
          <w:rFonts w:ascii="Arial" w:hAnsi="Arial" w:cs="Arial"/>
          <w:b w:val="0"/>
          <w:color w:val="000000" w:themeColor="text1"/>
        </w:rPr>
        <w:t>andmark</w:t>
      </w:r>
      <w:proofErr w:type="spellEnd"/>
      <w:r w:rsidR="00576467" w:rsidRPr="00724106">
        <w:rPr>
          <w:rFonts w:ascii="Arial" w:hAnsi="Arial" w:cs="Arial"/>
          <w:b w:val="0"/>
          <w:color w:val="000000" w:themeColor="text1"/>
        </w:rPr>
        <w:t xml:space="preserve">, </w:t>
      </w:r>
      <w:proofErr w:type="spellStart"/>
      <w:r w:rsidR="00576467" w:rsidRPr="00724106">
        <w:rPr>
          <w:rFonts w:ascii="Arial" w:hAnsi="Arial" w:cs="Arial"/>
          <w:b w:val="0"/>
          <w:color w:val="000000" w:themeColor="text1"/>
        </w:rPr>
        <w:t>I</w:t>
      </w:r>
      <w:r w:rsidR="00DD6273" w:rsidRPr="00724106">
        <w:rPr>
          <w:rFonts w:ascii="Arial" w:hAnsi="Arial" w:cs="Arial"/>
          <w:b w:val="0"/>
          <w:color w:val="000000" w:themeColor="text1"/>
        </w:rPr>
        <w:t>nsecabio</w:t>
      </w:r>
      <w:proofErr w:type="spellEnd"/>
      <w:r w:rsidR="00576467" w:rsidRPr="00724106">
        <w:rPr>
          <w:rFonts w:ascii="Arial" w:hAnsi="Arial" w:cs="Arial"/>
          <w:b w:val="0"/>
          <w:color w:val="000000" w:themeColor="text1"/>
        </w:rPr>
        <w:t xml:space="preserve"> S.A., </w:t>
      </w:r>
      <w:proofErr w:type="spellStart"/>
      <w:r w:rsidR="00576467" w:rsidRPr="00724106">
        <w:rPr>
          <w:rFonts w:ascii="Arial" w:hAnsi="Arial" w:cs="Arial"/>
          <w:b w:val="0"/>
          <w:color w:val="000000" w:themeColor="text1"/>
        </w:rPr>
        <w:t>A</w:t>
      </w:r>
      <w:r w:rsidR="00DD6273" w:rsidRPr="00724106">
        <w:rPr>
          <w:rFonts w:ascii="Arial" w:hAnsi="Arial" w:cs="Arial"/>
          <w:b w:val="0"/>
          <w:color w:val="000000" w:themeColor="text1"/>
        </w:rPr>
        <w:t>itec</w:t>
      </w:r>
      <w:proofErr w:type="spellEnd"/>
      <w:r w:rsidR="00576467" w:rsidRPr="00724106">
        <w:rPr>
          <w:rFonts w:ascii="Arial" w:hAnsi="Arial" w:cs="Arial"/>
          <w:b w:val="0"/>
          <w:color w:val="000000" w:themeColor="text1"/>
        </w:rPr>
        <w:t xml:space="preserve"> S.A., </w:t>
      </w:r>
      <w:proofErr w:type="spellStart"/>
      <w:r w:rsidR="00576467" w:rsidRPr="00724106">
        <w:rPr>
          <w:rFonts w:ascii="Arial" w:hAnsi="Arial" w:cs="Arial"/>
          <w:b w:val="0"/>
          <w:color w:val="000000" w:themeColor="text1"/>
        </w:rPr>
        <w:t>T</w:t>
      </w:r>
      <w:r w:rsidR="00DD6273" w:rsidRPr="00724106">
        <w:rPr>
          <w:rFonts w:ascii="Arial" w:hAnsi="Arial" w:cs="Arial"/>
          <w:b w:val="0"/>
          <w:color w:val="000000" w:themeColor="text1"/>
        </w:rPr>
        <w:t>racecompany</w:t>
      </w:r>
      <w:proofErr w:type="spellEnd"/>
      <w:r w:rsidR="00576467" w:rsidRPr="00724106">
        <w:rPr>
          <w:rFonts w:ascii="Arial" w:hAnsi="Arial" w:cs="Arial"/>
          <w:b w:val="0"/>
          <w:color w:val="000000" w:themeColor="text1"/>
        </w:rPr>
        <w:t xml:space="preserve">, </w:t>
      </w:r>
      <w:proofErr w:type="spellStart"/>
      <w:r w:rsidR="00576467" w:rsidRPr="00724106">
        <w:rPr>
          <w:rFonts w:ascii="Arial" w:hAnsi="Arial" w:cs="Arial"/>
          <w:b w:val="0"/>
          <w:color w:val="000000" w:themeColor="text1"/>
        </w:rPr>
        <w:t>D</w:t>
      </w:r>
      <w:r w:rsidR="00DD6273" w:rsidRPr="00724106">
        <w:rPr>
          <w:rFonts w:ascii="Arial" w:hAnsi="Arial" w:cs="Arial"/>
          <w:b w:val="0"/>
          <w:color w:val="000000" w:themeColor="text1"/>
        </w:rPr>
        <w:t>aiarymaster</w:t>
      </w:r>
      <w:proofErr w:type="spellEnd"/>
      <w:r w:rsidR="00576467" w:rsidRPr="00724106">
        <w:rPr>
          <w:rFonts w:ascii="Arial" w:hAnsi="Arial" w:cs="Arial"/>
          <w:b w:val="0"/>
          <w:color w:val="000000" w:themeColor="text1"/>
        </w:rPr>
        <w:t xml:space="preserve">, </w:t>
      </w:r>
      <w:proofErr w:type="spellStart"/>
      <w:r w:rsidR="00576467" w:rsidRPr="00724106">
        <w:rPr>
          <w:rFonts w:ascii="Arial" w:hAnsi="Arial" w:cs="Arial"/>
          <w:b w:val="0"/>
          <w:color w:val="000000" w:themeColor="text1"/>
        </w:rPr>
        <w:t>S</w:t>
      </w:r>
      <w:r w:rsidR="00DD6273" w:rsidRPr="00724106">
        <w:rPr>
          <w:rFonts w:ascii="Arial" w:hAnsi="Arial" w:cs="Arial"/>
          <w:b w:val="0"/>
          <w:color w:val="000000" w:themeColor="text1"/>
        </w:rPr>
        <w:t>omadiet</w:t>
      </w:r>
      <w:proofErr w:type="spellEnd"/>
      <w:r w:rsidR="00576467" w:rsidRPr="00724106">
        <w:rPr>
          <w:rFonts w:ascii="Arial" w:hAnsi="Arial" w:cs="Arial"/>
          <w:b w:val="0"/>
          <w:color w:val="000000" w:themeColor="text1"/>
        </w:rPr>
        <w:t xml:space="preserve">, MCA-N, </w:t>
      </w:r>
      <w:proofErr w:type="spellStart"/>
      <w:r w:rsidR="00576467" w:rsidRPr="00724106">
        <w:rPr>
          <w:rFonts w:ascii="Arial" w:hAnsi="Arial" w:cs="Arial"/>
          <w:b w:val="0"/>
          <w:color w:val="000000" w:themeColor="text1"/>
        </w:rPr>
        <w:t>R</w:t>
      </w:r>
      <w:r w:rsidR="00DD6273" w:rsidRPr="00724106">
        <w:rPr>
          <w:rFonts w:ascii="Arial" w:hAnsi="Arial" w:cs="Arial"/>
          <w:b w:val="0"/>
          <w:color w:val="000000" w:themeColor="text1"/>
        </w:rPr>
        <w:t>acio</w:t>
      </w:r>
      <w:proofErr w:type="spellEnd"/>
      <w:r w:rsidR="00576467" w:rsidRPr="00724106">
        <w:rPr>
          <w:rFonts w:ascii="Arial" w:hAnsi="Arial" w:cs="Arial"/>
          <w:b w:val="0"/>
          <w:color w:val="000000" w:themeColor="text1"/>
        </w:rPr>
        <w:t xml:space="preserve">, </w:t>
      </w:r>
      <w:proofErr w:type="spellStart"/>
      <w:r w:rsidR="00576467" w:rsidRPr="00724106">
        <w:rPr>
          <w:rFonts w:ascii="Arial" w:hAnsi="Arial" w:cs="Arial"/>
          <w:b w:val="0"/>
          <w:color w:val="000000" w:themeColor="text1"/>
        </w:rPr>
        <w:t>D</w:t>
      </w:r>
      <w:r w:rsidR="00DD6273" w:rsidRPr="00724106">
        <w:rPr>
          <w:rFonts w:ascii="Arial" w:hAnsi="Arial" w:cs="Arial"/>
          <w:b w:val="0"/>
          <w:color w:val="000000" w:themeColor="text1"/>
        </w:rPr>
        <w:t>igidelta</w:t>
      </w:r>
      <w:proofErr w:type="spellEnd"/>
      <w:r w:rsidR="00576467" w:rsidRPr="00724106">
        <w:rPr>
          <w:rFonts w:ascii="Arial" w:hAnsi="Arial" w:cs="Arial"/>
          <w:b w:val="0"/>
          <w:color w:val="000000" w:themeColor="text1"/>
        </w:rPr>
        <w:t>, otorgando un p</w:t>
      </w:r>
      <w:r w:rsidR="00641622" w:rsidRPr="00724106">
        <w:rPr>
          <w:rFonts w:ascii="Arial" w:hAnsi="Arial" w:cs="Arial"/>
          <w:b w:val="0"/>
          <w:color w:val="000000" w:themeColor="text1"/>
        </w:rPr>
        <w:t xml:space="preserve">lazo de 48 hrs a dichos efectos; </w:t>
      </w:r>
    </w:p>
    <w:p w:rsidR="00576467" w:rsidRPr="00724106" w:rsidRDefault="00641622" w:rsidP="00B905F8">
      <w:pPr>
        <w:spacing w:line="360" w:lineRule="auto"/>
        <w:ind w:firstLine="2694"/>
        <w:jc w:val="both"/>
        <w:rPr>
          <w:color w:val="000000" w:themeColor="text1"/>
        </w:rPr>
      </w:pPr>
      <w:r w:rsidRPr="00724106">
        <w:rPr>
          <w:rFonts w:ascii="Arial" w:hAnsi="Arial" w:cs="Arial"/>
          <w:color w:val="000000" w:themeColor="text1"/>
        </w:rPr>
        <w:t xml:space="preserve">6) </w:t>
      </w:r>
      <w:r w:rsidRPr="00724106">
        <w:rPr>
          <w:rFonts w:ascii="Arial" w:hAnsi="Arial" w:cs="Arial"/>
          <w:b w:val="0"/>
          <w:color w:val="000000" w:themeColor="text1"/>
        </w:rPr>
        <w:t>que se adjunta e</w:t>
      </w:r>
      <w:r w:rsidR="00576467" w:rsidRPr="00724106">
        <w:rPr>
          <w:rFonts w:ascii="Arial" w:hAnsi="Arial" w:cs="Arial"/>
          <w:b w:val="0"/>
          <w:color w:val="000000" w:themeColor="text1"/>
        </w:rPr>
        <w:t xml:space="preserve">vacuación de vista presentada por </w:t>
      </w:r>
      <w:proofErr w:type="spellStart"/>
      <w:r w:rsidR="00576467" w:rsidRPr="00724106">
        <w:rPr>
          <w:rFonts w:ascii="Arial" w:hAnsi="Arial" w:cs="Arial"/>
          <w:b w:val="0"/>
          <w:color w:val="000000" w:themeColor="text1"/>
        </w:rPr>
        <w:t>D</w:t>
      </w:r>
      <w:r w:rsidR="00DD6273" w:rsidRPr="00724106">
        <w:rPr>
          <w:rFonts w:ascii="Arial" w:hAnsi="Arial" w:cs="Arial"/>
          <w:b w:val="0"/>
          <w:color w:val="000000" w:themeColor="text1"/>
        </w:rPr>
        <w:t>atamars</w:t>
      </w:r>
      <w:proofErr w:type="spellEnd"/>
      <w:r w:rsidR="00576467" w:rsidRPr="00724106">
        <w:rPr>
          <w:rFonts w:ascii="Arial" w:hAnsi="Arial" w:cs="Arial"/>
          <w:b w:val="0"/>
          <w:color w:val="000000" w:themeColor="text1"/>
        </w:rPr>
        <w:t xml:space="preserve"> T</w:t>
      </w:r>
      <w:r w:rsidR="00DD6273" w:rsidRPr="00724106">
        <w:rPr>
          <w:rFonts w:ascii="Arial" w:hAnsi="Arial" w:cs="Arial"/>
          <w:b w:val="0"/>
          <w:color w:val="000000" w:themeColor="text1"/>
        </w:rPr>
        <w:t>razabilidad</w:t>
      </w:r>
      <w:r w:rsidR="00576467" w:rsidRPr="00724106">
        <w:rPr>
          <w:rFonts w:ascii="Arial" w:hAnsi="Arial" w:cs="Arial"/>
          <w:b w:val="0"/>
          <w:color w:val="000000" w:themeColor="text1"/>
        </w:rPr>
        <w:t xml:space="preserve"> S.A. de fecha 25 de noviembre de 2014. En dicha oportunidad la </w:t>
      </w:r>
      <w:r w:rsidR="00DD6273">
        <w:rPr>
          <w:rFonts w:ascii="Arial" w:hAnsi="Arial" w:cs="Arial"/>
          <w:b w:val="0"/>
          <w:color w:val="000000" w:themeColor="text1"/>
        </w:rPr>
        <w:t>F</w:t>
      </w:r>
      <w:r w:rsidR="00576467" w:rsidRPr="00724106">
        <w:rPr>
          <w:rFonts w:ascii="Arial" w:hAnsi="Arial" w:cs="Arial"/>
          <w:b w:val="0"/>
          <w:color w:val="000000" w:themeColor="text1"/>
        </w:rPr>
        <w:t xml:space="preserve">irma solicitó prórroga de plazo para agregar en forma documentación que adjuntaban. Dicha documentación fue presentada con fecha 1º de diciembre de </w:t>
      </w:r>
      <w:r w:rsidRPr="00724106">
        <w:rPr>
          <w:rFonts w:ascii="Arial" w:hAnsi="Arial" w:cs="Arial"/>
          <w:b w:val="0"/>
          <w:color w:val="000000" w:themeColor="text1"/>
        </w:rPr>
        <w:t xml:space="preserve">2014; </w:t>
      </w:r>
    </w:p>
    <w:p w:rsidR="00576467" w:rsidRPr="00724106" w:rsidRDefault="00641622" w:rsidP="00B905F8">
      <w:pPr>
        <w:spacing w:line="360" w:lineRule="auto"/>
        <w:ind w:firstLine="2694"/>
        <w:jc w:val="both"/>
        <w:rPr>
          <w:rFonts w:ascii="Arial" w:hAnsi="Arial" w:cs="Arial"/>
          <w:b w:val="0"/>
          <w:color w:val="000000" w:themeColor="text1"/>
        </w:rPr>
      </w:pPr>
      <w:r w:rsidRPr="00724106">
        <w:rPr>
          <w:rFonts w:ascii="Arial" w:hAnsi="Arial" w:cs="Arial"/>
          <w:color w:val="000000" w:themeColor="text1"/>
        </w:rPr>
        <w:t xml:space="preserve">7) </w:t>
      </w:r>
      <w:r w:rsidRPr="00724106">
        <w:rPr>
          <w:rFonts w:ascii="Arial" w:hAnsi="Arial" w:cs="Arial"/>
          <w:b w:val="0"/>
          <w:color w:val="000000" w:themeColor="text1"/>
        </w:rPr>
        <w:t>que</w:t>
      </w:r>
      <w:r w:rsidR="00CF3E6E" w:rsidRPr="00724106">
        <w:rPr>
          <w:rFonts w:ascii="Arial" w:hAnsi="Arial" w:cs="Arial"/>
          <w:b w:val="0"/>
          <w:color w:val="000000" w:themeColor="text1"/>
        </w:rPr>
        <w:t xml:space="preserve"> se remite Informe Técnico, Evaluación de Antecedentes </w:t>
      </w:r>
      <w:r w:rsidR="00527F42" w:rsidRPr="00724106">
        <w:rPr>
          <w:rFonts w:ascii="Arial" w:hAnsi="Arial" w:cs="Arial"/>
          <w:b w:val="0"/>
          <w:color w:val="000000" w:themeColor="text1"/>
        </w:rPr>
        <w:t xml:space="preserve">(diciembre 2014) </w:t>
      </w:r>
      <w:r w:rsidR="00CF3E6E" w:rsidRPr="00724106">
        <w:rPr>
          <w:rFonts w:ascii="Arial" w:hAnsi="Arial" w:cs="Arial"/>
          <w:b w:val="0"/>
          <w:color w:val="000000" w:themeColor="text1"/>
        </w:rPr>
        <w:t>e Informe de Ensayo elaborado por el L.A.T.U.</w:t>
      </w:r>
      <w:r w:rsidR="00527F42" w:rsidRPr="00724106">
        <w:rPr>
          <w:rFonts w:ascii="Arial" w:hAnsi="Arial" w:cs="Arial"/>
          <w:b w:val="0"/>
          <w:color w:val="000000" w:themeColor="text1"/>
        </w:rPr>
        <w:t xml:space="preserve"> (15 de diciembre de 2014); </w:t>
      </w:r>
    </w:p>
    <w:p w:rsidR="006F083E" w:rsidRPr="00724106" w:rsidRDefault="006F083E" w:rsidP="00DD6273">
      <w:pPr>
        <w:spacing w:line="360" w:lineRule="auto"/>
        <w:ind w:firstLine="2694"/>
        <w:jc w:val="both"/>
        <w:rPr>
          <w:rFonts w:ascii="Arial" w:hAnsi="Arial" w:cs="Arial"/>
          <w:b w:val="0"/>
          <w:color w:val="000000" w:themeColor="text1"/>
        </w:rPr>
      </w:pPr>
      <w:r w:rsidRPr="00724106">
        <w:rPr>
          <w:rFonts w:ascii="Arial" w:hAnsi="Arial" w:cs="Arial"/>
          <w:color w:val="000000" w:themeColor="text1"/>
        </w:rPr>
        <w:t xml:space="preserve">8) </w:t>
      </w:r>
      <w:r w:rsidRPr="00724106">
        <w:rPr>
          <w:rFonts w:ascii="Arial" w:hAnsi="Arial" w:cs="Arial"/>
          <w:b w:val="0"/>
          <w:color w:val="000000" w:themeColor="text1"/>
        </w:rPr>
        <w:t>que la Comisión Asesora de Adjudicaciones, con fecha 23 de diciembre de 2014</w:t>
      </w:r>
      <w:r w:rsidR="001504AD" w:rsidRPr="00724106">
        <w:rPr>
          <w:rFonts w:ascii="Arial" w:hAnsi="Arial" w:cs="Arial"/>
          <w:b w:val="0"/>
          <w:color w:val="000000" w:themeColor="text1"/>
        </w:rPr>
        <w:t>,</w:t>
      </w:r>
      <w:r w:rsidRPr="00724106">
        <w:rPr>
          <w:rFonts w:ascii="Arial" w:hAnsi="Arial" w:cs="Arial"/>
          <w:b w:val="0"/>
          <w:color w:val="000000" w:themeColor="text1"/>
        </w:rPr>
        <w:t xml:space="preserve"> sugirió adjudicar a la </w:t>
      </w:r>
      <w:r w:rsidR="00DD6273">
        <w:rPr>
          <w:rFonts w:ascii="Arial" w:hAnsi="Arial" w:cs="Arial"/>
          <w:b w:val="0"/>
          <w:color w:val="000000" w:themeColor="text1"/>
        </w:rPr>
        <w:t>F</w:t>
      </w:r>
      <w:r w:rsidRPr="00724106">
        <w:rPr>
          <w:rFonts w:ascii="Arial" w:hAnsi="Arial" w:cs="Arial"/>
          <w:b w:val="0"/>
          <w:color w:val="000000" w:themeColor="text1"/>
        </w:rPr>
        <w:t xml:space="preserve">irma </w:t>
      </w:r>
      <w:proofErr w:type="spellStart"/>
      <w:r w:rsidRPr="00724106">
        <w:rPr>
          <w:rFonts w:ascii="Arial" w:hAnsi="Arial" w:cs="Arial"/>
          <w:b w:val="0"/>
          <w:color w:val="000000" w:themeColor="text1"/>
        </w:rPr>
        <w:t>L</w:t>
      </w:r>
      <w:r w:rsidR="00DD6273">
        <w:rPr>
          <w:rFonts w:ascii="Arial" w:hAnsi="Arial" w:cs="Arial"/>
          <w:b w:val="0"/>
          <w:color w:val="000000" w:themeColor="text1"/>
        </w:rPr>
        <w:t>e</w:t>
      </w:r>
      <w:r w:rsidR="00DD6273" w:rsidRPr="00724106">
        <w:rPr>
          <w:rFonts w:ascii="Arial" w:hAnsi="Arial" w:cs="Arial"/>
          <w:b w:val="0"/>
          <w:color w:val="000000" w:themeColor="text1"/>
        </w:rPr>
        <w:t>mifar</w:t>
      </w:r>
      <w:proofErr w:type="spellEnd"/>
      <w:r w:rsidRPr="00724106">
        <w:rPr>
          <w:rFonts w:ascii="Arial" w:hAnsi="Arial" w:cs="Arial"/>
          <w:b w:val="0"/>
          <w:color w:val="000000" w:themeColor="text1"/>
        </w:rPr>
        <w:t xml:space="preserve"> S.A., </w:t>
      </w:r>
      <w:r w:rsidR="00DD6273">
        <w:rPr>
          <w:rFonts w:ascii="Arial" w:hAnsi="Arial" w:cs="Arial"/>
          <w:b w:val="0"/>
          <w:color w:val="000000" w:themeColor="text1"/>
        </w:rPr>
        <w:t>c</w:t>
      </w:r>
      <w:r w:rsidRPr="00724106">
        <w:rPr>
          <w:rFonts w:ascii="Arial" w:hAnsi="Arial" w:cs="Arial"/>
          <w:b w:val="0"/>
          <w:color w:val="000000" w:themeColor="text1"/>
        </w:rPr>
        <w:t xml:space="preserve">onforme </w:t>
      </w:r>
      <w:r w:rsidR="00DD6273">
        <w:rPr>
          <w:rFonts w:ascii="Arial" w:hAnsi="Arial" w:cs="Arial"/>
          <w:b w:val="0"/>
          <w:color w:val="000000" w:themeColor="text1"/>
        </w:rPr>
        <w:t>con e</w:t>
      </w:r>
      <w:r w:rsidRPr="00724106">
        <w:rPr>
          <w:rFonts w:ascii="Arial" w:hAnsi="Arial" w:cs="Arial"/>
          <w:b w:val="0"/>
          <w:color w:val="000000" w:themeColor="text1"/>
        </w:rPr>
        <w:t xml:space="preserve">l siguiente detalle: </w:t>
      </w:r>
    </w:p>
    <w:p w:rsidR="006F083E" w:rsidRPr="00724106" w:rsidRDefault="006F083E" w:rsidP="00B905F8">
      <w:pPr>
        <w:spacing w:line="360" w:lineRule="auto"/>
        <w:jc w:val="both"/>
        <w:rPr>
          <w:rFonts w:ascii="Arial" w:eastAsiaTheme="majorEastAsia" w:hAnsi="Arial" w:cs="Arial"/>
          <w:b w:val="0"/>
          <w:color w:val="000000" w:themeColor="text1"/>
          <w:szCs w:val="24"/>
        </w:rPr>
      </w:pPr>
      <w:r w:rsidRPr="00724106">
        <w:rPr>
          <w:rFonts w:ascii="Arial" w:hAnsi="Arial" w:cs="Arial"/>
          <w:color w:val="000000" w:themeColor="text1"/>
        </w:rPr>
        <w:t>8.1)</w:t>
      </w:r>
      <w:r w:rsidRPr="00724106">
        <w:rPr>
          <w:rFonts w:ascii="Arial" w:hAnsi="Arial" w:cs="Arial"/>
          <w:b w:val="0"/>
          <w:color w:val="000000" w:themeColor="text1"/>
        </w:rPr>
        <w:t xml:space="preserve"> </w:t>
      </w:r>
      <w:r w:rsidR="00576467" w:rsidRPr="00724106">
        <w:rPr>
          <w:rFonts w:ascii="Arial" w:eastAsiaTheme="majorEastAsia" w:hAnsi="Arial" w:cs="Arial"/>
          <w:b w:val="0"/>
          <w:color w:val="000000" w:themeColor="text1"/>
          <w:szCs w:val="24"/>
        </w:rPr>
        <w:t>ítem 1:</w:t>
      </w:r>
      <w:r w:rsidR="00576467" w:rsidRPr="00724106">
        <w:rPr>
          <w:rFonts w:ascii="Arial" w:eastAsiaTheme="majorEastAsia" w:hAnsi="Arial" w:cs="Arial"/>
          <w:color w:val="000000" w:themeColor="text1"/>
          <w:szCs w:val="24"/>
        </w:rPr>
        <w:t xml:space="preserve"> </w:t>
      </w:r>
      <w:r w:rsidR="00576467" w:rsidRPr="00724106">
        <w:rPr>
          <w:rFonts w:ascii="Arial" w:eastAsiaTheme="majorEastAsia" w:hAnsi="Arial" w:cs="Arial"/>
          <w:b w:val="0"/>
          <w:color w:val="000000" w:themeColor="text1"/>
          <w:szCs w:val="24"/>
        </w:rPr>
        <w:t>de 3:500.000 pares de identificadores  distribuido</w:t>
      </w:r>
      <w:r w:rsidR="00DD6273">
        <w:rPr>
          <w:rFonts w:ascii="Arial" w:eastAsiaTheme="majorEastAsia" w:hAnsi="Arial" w:cs="Arial"/>
          <w:b w:val="0"/>
          <w:color w:val="000000" w:themeColor="text1"/>
          <w:szCs w:val="24"/>
        </w:rPr>
        <w:t>s</w:t>
      </w:r>
      <w:r w:rsidR="00576467" w:rsidRPr="00724106">
        <w:rPr>
          <w:rFonts w:ascii="Arial" w:eastAsiaTheme="majorEastAsia" w:hAnsi="Arial" w:cs="Arial"/>
          <w:b w:val="0"/>
          <w:color w:val="000000" w:themeColor="text1"/>
          <w:szCs w:val="24"/>
        </w:rPr>
        <w:t xml:space="preserve"> de la siguiente manera: </w:t>
      </w:r>
      <w:r w:rsidR="00DD6273">
        <w:rPr>
          <w:rFonts w:ascii="Arial" w:eastAsiaTheme="majorEastAsia" w:hAnsi="Arial" w:cs="Arial"/>
          <w:b w:val="0"/>
          <w:color w:val="000000" w:themeColor="text1"/>
          <w:szCs w:val="24"/>
        </w:rPr>
        <w:t xml:space="preserve"> </w:t>
      </w:r>
      <w:r w:rsidRPr="00DD6273">
        <w:rPr>
          <w:rFonts w:ascii="Arial" w:eastAsiaTheme="majorEastAsia" w:hAnsi="Arial" w:cs="Arial"/>
          <w:color w:val="000000" w:themeColor="text1"/>
          <w:szCs w:val="24"/>
        </w:rPr>
        <w:t>a</w:t>
      </w:r>
      <w:r w:rsidR="00576467" w:rsidRPr="00724106">
        <w:rPr>
          <w:rFonts w:ascii="Arial" w:eastAsiaTheme="majorEastAsia" w:hAnsi="Arial" w:cs="Arial"/>
          <w:b w:val="0"/>
          <w:color w:val="000000" w:themeColor="text1"/>
          <w:szCs w:val="24"/>
        </w:rPr>
        <w:t xml:space="preserve">) La cantidad de 700.000 a un precio unitario aéreo CIP de </w:t>
      </w:r>
      <w:r w:rsidRPr="00724106">
        <w:rPr>
          <w:rFonts w:ascii="Arial" w:eastAsiaTheme="majorEastAsia" w:hAnsi="Arial" w:cs="Arial"/>
          <w:b w:val="0"/>
          <w:color w:val="000000" w:themeColor="text1"/>
          <w:szCs w:val="24"/>
        </w:rPr>
        <w:t>d</w:t>
      </w:r>
      <w:r w:rsidR="00576467" w:rsidRPr="00724106">
        <w:rPr>
          <w:rFonts w:ascii="Arial" w:eastAsiaTheme="majorEastAsia" w:hAnsi="Arial" w:cs="Arial"/>
          <w:b w:val="0"/>
          <w:color w:val="000000" w:themeColor="text1"/>
          <w:szCs w:val="24"/>
        </w:rPr>
        <w:t>epósito designado por el MGAP Montevideo de U$S 1,53 por par, lo que hace un precio total de U$S 1</w:t>
      </w:r>
      <w:r w:rsidR="00DD6273">
        <w:rPr>
          <w:rFonts w:ascii="Arial" w:eastAsiaTheme="majorEastAsia" w:hAnsi="Arial" w:cs="Arial"/>
          <w:b w:val="0"/>
          <w:color w:val="000000" w:themeColor="text1"/>
          <w:szCs w:val="24"/>
        </w:rPr>
        <w:t>:</w:t>
      </w:r>
      <w:r w:rsidR="00576467" w:rsidRPr="00724106">
        <w:rPr>
          <w:rFonts w:ascii="Arial" w:eastAsiaTheme="majorEastAsia" w:hAnsi="Arial" w:cs="Arial"/>
          <w:b w:val="0"/>
          <w:color w:val="000000" w:themeColor="text1"/>
          <w:szCs w:val="24"/>
        </w:rPr>
        <w:t xml:space="preserve">0701.000; </w:t>
      </w:r>
      <w:r w:rsidRPr="00DD6273">
        <w:rPr>
          <w:rFonts w:ascii="Arial" w:hAnsi="Arial" w:cs="Arial"/>
          <w:color w:val="000000" w:themeColor="text1"/>
        </w:rPr>
        <w:t>b</w:t>
      </w:r>
      <w:r w:rsidR="00576467" w:rsidRPr="00724106">
        <w:rPr>
          <w:rFonts w:ascii="Arial" w:eastAsiaTheme="majorEastAsia" w:hAnsi="Arial" w:cs="Arial"/>
          <w:b w:val="0"/>
          <w:color w:val="000000" w:themeColor="text1"/>
          <w:szCs w:val="24"/>
        </w:rPr>
        <w:t>) La cantidad de 2</w:t>
      </w:r>
      <w:r w:rsidR="00DD6273">
        <w:rPr>
          <w:rFonts w:ascii="Arial" w:eastAsiaTheme="majorEastAsia" w:hAnsi="Arial" w:cs="Arial"/>
          <w:b w:val="0"/>
          <w:color w:val="000000" w:themeColor="text1"/>
          <w:szCs w:val="24"/>
        </w:rPr>
        <w:t>:</w:t>
      </w:r>
      <w:r w:rsidR="00576467" w:rsidRPr="00724106">
        <w:rPr>
          <w:rFonts w:ascii="Arial" w:eastAsiaTheme="majorEastAsia" w:hAnsi="Arial" w:cs="Arial"/>
          <w:b w:val="0"/>
          <w:color w:val="000000" w:themeColor="text1"/>
          <w:szCs w:val="24"/>
        </w:rPr>
        <w:t xml:space="preserve">800.000 a un precio unitario marítimo CIP depósito designado por el MGAP Montevideo de </w:t>
      </w:r>
      <w:r w:rsidR="00B905F8">
        <w:rPr>
          <w:rFonts w:ascii="Arial" w:eastAsiaTheme="majorEastAsia" w:hAnsi="Arial" w:cs="Arial"/>
          <w:b w:val="0"/>
          <w:color w:val="000000" w:themeColor="text1"/>
          <w:szCs w:val="24"/>
        </w:rPr>
        <w:t xml:space="preserve">        </w:t>
      </w:r>
      <w:r w:rsidR="00576467" w:rsidRPr="00724106">
        <w:rPr>
          <w:rFonts w:ascii="Arial" w:eastAsiaTheme="majorEastAsia" w:hAnsi="Arial" w:cs="Arial"/>
          <w:b w:val="0"/>
          <w:color w:val="000000" w:themeColor="text1"/>
          <w:szCs w:val="24"/>
        </w:rPr>
        <w:t>U$S 1,42 por par, lo que hace un precio total de U$S 3:976.000.</w:t>
      </w:r>
      <w:r w:rsidRPr="00724106">
        <w:rPr>
          <w:rFonts w:ascii="Arial" w:eastAsiaTheme="majorEastAsia" w:hAnsi="Arial" w:cs="Arial"/>
          <w:b w:val="0"/>
          <w:color w:val="000000" w:themeColor="text1"/>
          <w:szCs w:val="24"/>
        </w:rPr>
        <w:t xml:space="preserve"> </w:t>
      </w:r>
      <w:r w:rsidR="00DD6273">
        <w:rPr>
          <w:rFonts w:ascii="Arial" w:eastAsiaTheme="majorEastAsia" w:hAnsi="Arial" w:cs="Arial"/>
          <w:b w:val="0"/>
          <w:color w:val="000000" w:themeColor="text1"/>
          <w:szCs w:val="24"/>
        </w:rPr>
        <w:t>T</w:t>
      </w:r>
      <w:r w:rsidR="00DD6273" w:rsidRPr="00724106">
        <w:rPr>
          <w:rFonts w:ascii="Arial" w:eastAsiaTheme="majorEastAsia" w:hAnsi="Arial" w:cs="Arial"/>
          <w:b w:val="0"/>
          <w:color w:val="000000" w:themeColor="text1"/>
          <w:szCs w:val="24"/>
        </w:rPr>
        <w:t>otal del ítem</w:t>
      </w:r>
      <w:r w:rsidR="00576467" w:rsidRPr="00724106">
        <w:rPr>
          <w:rFonts w:ascii="Arial" w:eastAsiaTheme="majorEastAsia" w:hAnsi="Arial" w:cs="Arial"/>
          <w:b w:val="0"/>
          <w:color w:val="000000" w:themeColor="text1"/>
          <w:szCs w:val="24"/>
        </w:rPr>
        <w:t>: U$S 5:047.000.</w:t>
      </w:r>
    </w:p>
    <w:p w:rsidR="00576467" w:rsidRPr="00724106" w:rsidRDefault="006F083E" w:rsidP="00B905F8">
      <w:pPr>
        <w:spacing w:line="360" w:lineRule="auto"/>
        <w:jc w:val="both"/>
        <w:rPr>
          <w:rFonts w:ascii="Arial" w:eastAsiaTheme="majorEastAsia" w:hAnsi="Arial" w:cs="Arial"/>
          <w:color w:val="000000" w:themeColor="text1"/>
          <w:szCs w:val="24"/>
          <w:u w:val="single"/>
        </w:rPr>
      </w:pPr>
      <w:r w:rsidRPr="00724106">
        <w:rPr>
          <w:rFonts w:ascii="Arial" w:hAnsi="Arial" w:cs="Arial"/>
          <w:color w:val="000000" w:themeColor="text1"/>
        </w:rPr>
        <w:t>8.</w:t>
      </w:r>
      <w:r w:rsidRPr="00724106">
        <w:rPr>
          <w:rFonts w:ascii="Arial" w:eastAsiaTheme="majorEastAsia" w:hAnsi="Arial" w:cs="Arial"/>
          <w:color w:val="000000" w:themeColor="text1"/>
          <w:szCs w:val="24"/>
        </w:rPr>
        <w:t>2)</w:t>
      </w:r>
      <w:r w:rsidRPr="00724106">
        <w:rPr>
          <w:rFonts w:ascii="Arial" w:eastAsiaTheme="majorEastAsia" w:hAnsi="Arial" w:cs="Arial"/>
          <w:b w:val="0"/>
          <w:color w:val="000000" w:themeColor="text1"/>
          <w:szCs w:val="24"/>
        </w:rPr>
        <w:t xml:space="preserve"> </w:t>
      </w:r>
      <w:proofErr w:type="gramStart"/>
      <w:r w:rsidR="00576467" w:rsidRPr="00724106">
        <w:rPr>
          <w:rFonts w:ascii="Arial" w:eastAsiaTheme="majorEastAsia" w:hAnsi="Arial" w:cs="Arial"/>
          <w:b w:val="0"/>
          <w:color w:val="000000" w:themeColor="text1"/>
          <w:szCs w:val="24"/>
        </w:rPr>
        <w:t>ítem</w:t>
      </w:r>
      <w:proofErr w:type="gramEnd"/>
      <w:r w:rsidR="00576467" w:rsidRPr="00724106">
        <w:rPr>
          <w:rFonts w:ascii="Arial" w:eastAsiaTheme="majorEastAsia" w:hAnsi="Arial" w:cs="Arial"/>
          <w:b w:val="0"/>
          <w:color w:val="000000" w:themeColor="text1"/>
          <w:szCs w:val="24"/>
        </w:rPr>
        <w:t xml:space="preserve"> 2:</w:t>
      </w:r>
      <w:r w:rsidR="00576467" w:rsidRPr="00724106">
        <w:rPr>
          <w:rFonts w:ascii="Arial" w:eastAsiaTheme="majorEastAsia" w:hAnsi="Arial" w:cs="Arial"/>
          <w:color w:val="000000" w:themeColor="text1"/>
          <w:szCs w:val="24"/>
        </w:rPr>
        <w:t xml:space="preserve"> </w:t>
      </w:r>
      <w:r w:rsidR="00576467" w:rsidRPr="00724106">
        <w:rPr>
          <w:rFonts w:ascii="Arial" w:eastAsiaTheme="majorEastAsia" w:hAnsi="Arial" w:cs="Arial"/>
          <w:b w:val="0"/>
          <w:color w:val="000000" w:themeColor="text1"/>
          <w:szCs w:val="24"/>
        </w:rPr>
        <w:t>de 50.000 pares de identificadores, distribuido</w:t>
      </w:r>
      <w:r w:rsidR="00DD6273">
        <w:rPr>
          <w:rFonts w:ascii="Arial" w:eastAsiaTheme="majorEastAsia" w:hAnsi="Arial" w:cs="Arial"/>
          <w:b w:val="0"/>
          <w:color w:val="000000" w:themeColor="text1"/>
          <w:szCs w:val="24"/>
        </w:rPr>
        <w:t>s</w:t>
      </w:r>
      <w:r w:rsidR="00576467" w:rsidRPr="00724106">
        <w:rPr>
          <w:rFonts w:ascii="Arial" w:eastAsiaTheme="majorEastAsia" w:hAnsi="Arial" w:cs="Arial"/>
          <w:b w:val="0"/>
          <w:color w:val="000000" w:themeColor="text1"/>
          <w:szCs w:val="24"/>
        </w:rPr>
        <w:t xml:space="preserve"> de la siguiente manera: </w:t>
      </w:r>
      <w:r w:rsidR="00DD6273">
        <w:rPr>
          <w:rFonts w:ascii="Arial" w:eastAsiaTheme="majorEastAsia" w:hAnsi="Arial" w:cs="Arial"/>
          <w:b w:val="0"/>
          <w:color w:val="000000" w:themeColor="text1"/>
          <w:szCs w:val="24"/>
        </w:rPr>
        <w:t xml:space="preserve"> </w:t>
      </w:r>
      <w:r w:rsidRPr="00DD6273">
        <w:rPr>
          <w:rFonts w:ascii="Arial" w:eastAsiaTheme="majorEastAsia" w:hAnsi="Arial" w:cs="Arial"/>
          <w:color w:val="000000" w:themeColor="text1"/>
          <w:szCs w:val="24"/>
        </w:rPr>
        <w:t>a</w:t>
      </w:r>
      <w:r w:rsidR="00576467" w:rsidRPr="00724106">
        <w:rPr>
          <w:rFonts w:ascii="Arial" w:eastAsiaTheme="majorEastAsia" w:hAnsi="Arial" w:cs="Arial"/>
          <w:b w:val="0"/>
          <w:color w:val="000000" w:themeColor="text1"/>
          <w:szCs w:val="24"/>
        </w:rPr>
        <w:t xml:space="preserve">) La cantidad de 10.000 a un precio unitario aéreo CIP de depósito </w:t>
      </w:r>
      <w:r w:rsidR="00576467" w:rsidRPr="00724106">
        <w:rPr>
          <w:rFonts w:ascii="Arial" w:eastAsiaTheme="majorEastAsia" w:hAnsi="Arial" w:cs="Arial"/>
          <w:b w:val="0"/>
          <w:color w:val="000000" w:themeColor="text1"/>
          <w:szCs w:val="24"/>
        </w:rPr>
        <w:lastRenderedPageBreak/>
        <w:t xml:space="preserve">designado por el MGAP Montevideo de U$S 1,53 por par, lo que hace un precio total de U$S 15.300; </w:t>
      </w:r>
      <w:r w:rsidRPr="008A2BA4">
        <w:rPr>
          <w:rFonts w:ascii="Arial" w:eastAsiaTheme="majorEastAsia" w:hAnsi="Arial" w:cs="Arial"/>
          <w:color w:val="000000" w:themeColor="text1"/>
          <w:szCs w:val="24"/>
        </w:rPr>
        <w:t>b</w:t>
      </w:r>
      <w:r w:rsidR="00576467" w:rsidRPr="00724106">
        <w:rPr>
          <w:rFonts w:ascii="Arial" w:eastAsiaTheme="majorEastAsia" w:hAnsi="Arial" w:cs="Arial"/>
          <w:b w:val="0"/>
          <w:color w:val="000000" w:themeColor="text1"/>
          <w:szCs w:val="24"/>
        </w:rPr>
        <w:t>) La cantidad de 40.000 a un precio unitario marítimo CIP depósito designado por el MGAP Montevideo de U$S 1,42 por par, lo que hace un precio total de $S 56.800.</w:t>
      </w:r>
      <w:r w:rsidRPr="00724106">
        <w:rPr>
          <w:rFonts w:ascii="Arial" w:eastAsiaTheme="majorEastAsia" w:hAnsi="Arial" w:cs="Arial"/>
          <w:b w:val="0"/>
          <w:color w:val="000000" w:themeColor="text1"/>
          <w:szCs w:val="24"/>
        </w:rPr>
        <w:t xml:space="preserve"> </w:t>
      </w:r>
      <w:r w:rsidR="008A2BA4">
        <w:rPr>
          <w:rFonts w:ascii="Arial" w:eastAsiaTheme="majorEastAsia" w:hAnsi="Arial" w:cs="Arial"/>
          <w:b w:val="0"/>
          <w:color w:val="000000" w:themeColor="text1"/>
          <w:szCs w:val="24"/>
        </w:rPr>
        <w:t>T</w:t>
      </w:r>
      <w:r w:rsidR="008A2BA4" w:rsidRPr="00724106">
        <w:rPr>
          <w:rFonts w:ascii="Arial" w:eastAsiaTheme="majorEastAsia" w:hAnsi="Arial" w:cs="Arial"/>
          <w:b w:val="0"/>
          <w:color w:val="000000" w:themeColor="text1"/>
          <w:szCs w:val="24"/>
        </w:rPr>
        <w:t>otal del ítem</w:t>
      </w:r>
      <w:proofErr w:type="gramStart"/>
      <w:r w:rsidR="00576467" w:rsidRPr="00724106">
        <w:rPr>
          <w:rFonts w:ascii="Arial" w:eastAsiaTheme="majorEastAsia" w:hAnsi="Arial" w:cs="Arial"/>
          <w:b w:val="0"/>
          <w:color w:val="000000" w:themeColor="text1"/>
          <w:szCs w:val="24"/>
        </w:rPr>
        <w:t>:</w:t>
      </w:r>
      <w:r w:rsidR="00B905F8">
        <w:rPr>
          <w:rFonts w:ascii="Arial" w:eastAsiaTheme="majorEastAsia" w:hAnsi="Arial" w:cs="Arial"/>
          <w:b w:val="0"/>
          <w:color w:val="000000" w:themeColor="text1"/>
          <w:szCs w:val="24"/>
        </w:rPr>
        <w:t xml:space="preserve">  </w:t>
      </w:r>
      <w:r w:rsidR="00576467" w:rsidRPr="00724106">
        <w:rPr>
          <w:rFonts w:ascii="Arial" w:eastAsiaTheme="majorEastAsia" w:hAnsi="Arial" w:cs="Arial"/>
          <w:b w:val="0"/>
          <w:color w:val="000000" w:themeColor="text1"/>
          <w:szCs w:val="24"/>
        </w:rPr>
        <w:t>U</w:t>
      </w:r>
      <w:proofErr w:type="gramEnd"/>
      <w:r w:rsidR="00576467" w:rsidRPr="00724106">
        <w:rPr>
          <w:rFonts w:ascii="Arial" w:eastAsiaTheme="majorEastAsia" w:hAnsi="Arial" w:cs="Arial"/>
          <w:b w:val="0"/>
          <w:color w:val="000000" w:themeColor="text1"/>
          <w:szCs w:val="24"/>
        </w:rPr>
        <w:t>$S 72.100.</w:t>
      </w:r>
      <w:r w:rsidRPr="00724106">
        <w:rPr>
          <w:rFonts w:ascii="Arial" w:eastAsiaTheme="majorEastAsia" w:hAnsi="Arial" w:cs="Arial"/>
          <w:b w:val="0"/>
          <w:color w:val="000000" w:themeColor="text1"/>
          <w:szCs w:val="24"/>
        </w:rPr>
        <w:t xml:space="preserve"> El monto total de adjudicación asciende a </w:t>
      </w:r>
      <w:r w:rsidR="00576467" w:rsidRPr="00724106">
        <w:rPr>
          <w:rFonts w:ascii="Arial" w:eastAsiaTheme="majorEastAsia" w:hAnsi="Arial" w:cs="Arial"/>
          <w:b w:val="0"/>
          <w:color w:val="000000" w:themeColor="text1"/>
          <w:szCs w:val="24"/>
        </w:rPr>
        <w:t>U$S 5:119.100</w:t>
      </w:r>
      <w:r w:rsidRPr="00724106">
        <w:rPr>
          <w:rFonts w:ascii="Arial" w:eastAsiaTheme="majorEastAsia" w:hAnsi="Arial" w:cs="Arial"/>
          <w:b w:val="0"/>
          <w:color w:val="000000" w:themeColor="text1"/>
          <w:szCs w:val="24"/>
        </w:rPr>
        <w:t xml:space="preserve">; </w:t>
      </w:r>
    </w:p>
    <w:p w:rsidR="00576467" w:rsidRPr="00724106" w:rsidRDefault="006F083E" w:rsidP="00B905F8">
      <w:pPr>
        <w:spacing w:line="360" w:lineRule="auto"/>
        <w:jc w:val="both"/>
        <w:rPr>
          <w:rFonts w:ascii="Arial" w:eastAsiaTheme="majorEastAsia" w:hAnsi="Arial" w:cs="Arial"/>
          <w:b w:val="0"/>
          <w:color w:val="000000" w:themeColor="text1"/>
          <w:szCs w:val="24"/>
        </w:rPr>
      </w:pPr>
      <w:r w:rsidRPr="00724106">
        <w:rPr>
          <w:rFonts w:ascii="Arial" w:hAnsi="Arial" w:cs="Arial"/>
          <w:color w:val="000000" w:themeColor="text1"/>
        </w:rPr>
        <w:t>8.</w:t>
      </w:r>
      <w:r w:rsidRPr="00724106">
        <w:rPr>
          <w:rFonts w:ascii="Arial" w:eastAsiaTheme="majorEastAsia" w:hAnsi="Arial" w:cs="Arial"/>
          <w:color w:val="000000" w:themeColor="text1"/>
          <w:szCs w:val="24"/>
        </w:rPr>
        <w:t xml:space="preserve">3) </w:t>
      </w:r>
      <w:r w:rsidR="00576467" w:rsidRPr="00724106">
        <w:rPr>
          <w:rFonts w:ascii="Arial" w:eastAsiaTheme="majorEastAsia" w:hAnsi="Arial" w:cs="Arial"/>
          <w:b w:val="0"/>
          <w:color w:val="000000" w:themeColor="text1"/>
          <w:szCs w:val="24"/>
        </w:rPr>
        <w:t>Surge de dicho informe que se consultó al Registro respecto de la información preceptuada por el Artículo 3 de la Ley 18.244, habiéndose constatado que no presentan insc</w:t>
      </w:r>
      <w:r w:rsidRPr="00724106">
        <w:rPr>
          <w:rFonts w:ascii="Arial" w:eastAsiaTheme="majorEastAsia" w:hAnsi="Arial" w:cs="Arial"/>
          <w:b w:val="0"/>
          <w:color w:val="000000" w:themeColor="text1"/>
          <w:szCs w:val="24"/>
        </w:rPr>
        <w:t xml:space="preserve">ripciones como deudores morosos; </w:t>
      </w:r>
    </w:p>
    <w:p w:rsidR="00A03971" w:rsidRPr="00724106" w:rsidRDefault="00A03971" w:rsidP="00B905F8">
      <w:pPr>
        <w:pStyle w:val="Ttulo8"/>
        <w:keepLines w:val="0"/>
        <w:tabs>
          <w:tab w:val="left" w:pos="2694"/>
        </w:tabs>
        <w:spacing w:before="0" w:line="360" w:lineRule="auto"/>
        <w:ind w:firstLine="2694"/>
        <w:jc w:val="both"/>
        <w:rPr>
          <w:rFonts w:ascii="Arial" w:hAnsi="Arial" w:cs="Arial"/>
          <w:bCs/>
          <w:color w:val="000000" w:themeColor="text1"/>
          <w:sz w:val="24"/>
          <w:szCs w:val="24"/>
        </w:rPr>
      </w:pPr>
      <w:r w:rsidRPr="00724106">
        <w:rPr>
          <w:rFonts w:ascii="Arial" w:hAnsi="Arial" w:cs="Arial"/>
          <w:color w:val="000000" w:themeColor="text1"/>
          <w:sz w:val="24"/>
          <w:szCs w:val="24"/>
        </w:rPr>
        <w:t>9</w:t>
      </w:r>
      <w:r w:rsidR="006F083E" w:rsidRPr="00724106">
        <w:rPr>
          <w:rFonts w:ascii="Arial" w:hAnsi="Arial" w:cs="Arial"/>
          <w:color w:val="000000" w:themeColor="text1"/>
          <w:sz w:val="24"/>
          <w:szCs w:val="24"/>
        </w:rPr>
        <w:t xml:space="preserve">) </w:t>
      </w:r>
      <w:r w:rsidR="006F083E" w:rsidRPr="00724106">
        <w:rPr>
          <w:rFonts w:ascii="Arial" w:hAnsi="Arial" w:cs="Arial"/>
          <w:b w:val="0"/>
          <w:color w:val="000000" w:themeColor="text1"/>
          <w:sz w:val="24"/>
          <w:szCs w:val="24"/>
        </w:rPr>
        <w:t xml:space="preserve">que con fecha 26 de diciembre de 2014, se confirió la vista preceptuada por el Artículo 67 del T.O.C.A.F.; </w:t>
      </w:r>
    </w:p>
    <w:p w:rsidR="00576467" w:rsidRPr="00724106" w:rsidRDefault="00A03971" w:rsidP="00B905F8">
      <w:pPr>
        <w:pStyle w:val="Ttulo8"/>
        <w:keepLines w:val="0"/>
        <w:spacing w:before="0" w:line="360" w:lineRule="auto"/>
        <w:ind w:firstLine="2694"/>
        <w:jc w:val="both"/>
        <w:rPr>
          <w:rFonts w:ascii="Arial" w:hAnsi="Arial" w:cs="Arial"/>
          <w:bCs/>
          <w:color w:val="000000" w:themeColor="text1"/>
          <w:sz w:val="24"/>
          <w:szCs w:val="24"/>
        </w:rPr>
      </w:pPr>
      <w:r w:rsidRPr="00724106">
        <w:rPr>
          <w:rFonts w:ascii="Arial" w:hAnsi="Arial" w:cs="Arial"/>
          <w:bCs/>
          <w:color w:val="000000" w:themeColor="text1"/>
          <w:sz w:val="24"/>
          <w:szCs w:val="24"/>
        </w:rPr>
        <w:t>10</w:t>
      </w:r>
      <w:r w:rsidRPr="00724106">
        <w:rPr>
          <w:rFonts w:ascii="Arial" w:hAnsi="Arial" w:cs="Arial"/>
          <w:color w:val="000000" w:themeColor="text1"/>
          <w:sz w:val="24"/>
          <w:szCs w:val="24"/>
        </w:rPr>
        <w:t xml:space="preserve">) </w:t>
      </w:r>
      <w:r w:rsidRPr="00724106">
        <w:rPr>
          <w:rFonts w:ascii="Arial" w:hAnsi="Arial" w:cs="Arial"/>
          <w:b w:val="0"/>
          <w:color w:val="000000" w:themeColor="text1"/>
          <w:sz w:val="24"/>
          <w:szCs w:val="24"/>
        </w:rPr>
        <w:t xml:space="preserve">que la </w:t>
      </w:r>
      <w:r w:rsidR="008A2BA4">
        <w:rPr>
          <w:rFonts w:ascii="Arial" w:hAnsi="Arial" w:cs="Arial"/>
          <w:b w:val="0"/>
          <w:color w:val="000000" w:themeColor="text1"/>
          <w:sz w:val="24"/>
          <w:szCs w:val="24"/>
        </w:rPr>
        <w:t>F</w:t>
      </w:r>
      <w:r w:rsidRPr="00724106">
        <w:rPr>
          <w:rFonts w:ascii="Arial" w:hAnsi="Arial" w:cs="Arial"/>
          <w:b w:val="0"/>
          <w:color w:val="000000" w:themeColor="text1"/>
          <w:sz w:val="24"/>
          <w:szCs w:val="24"/>
        </w:rPr>
        <w:t xml:space="preserve">irma </w:t>
      </w:r>
      <w:proofErr w:type="spellStart"/>
      <w:r w:rsidRPr="00724106">
        <w:rPr>
          <w:rFonts w:ascii="Arial" w:hAnsi="Arial" w:cs="Arial"/>
          <w:b w:val="0"/>
          <w:color w:val="000000" w:themeColor="text1"/>
          <w:sz w:val="24"/>
          <w:szCs w:val="24"/>
        </w:rPr>
        <w:t>D</w:t>
      </w:r>
      <w:r w:rsidR="008A2BA4" w:rsidRPr="00724106">
        <w:rPr>
          <w:rFonts w:ascii="Arial" w:hAnsi="Arial" w:cs="Arial"/>
          <w:b w:val="0"/>
          <w:color w:val="000000" w:themeColor="text1"/>
          <w:sz w:val="24"/>
          <w:szCs w:val="24"/>
        </w:rPr>
        <w:t>atamars</w:t>
      </w:r>
      <w:proofErr w:type="spellEnd"/>
      <w:r w:rsidRPr="00724106">
        <w:rPr>
          <w:rFonts w:ascii="Arial" w:hAnsi="Arial" w:cs="Arial"/>
          <w:b w:val="0"/>
          <w:color w:val="000000" w:themeColor="text1"/>
          <w:sz w:val="24"/>
          <w:szCs w:val="24"/>
        </w:rPr>
        <w:t xml:space="preserve"> T</w:t>
      </w:r>
      <w:r w:rsidR="008A2BA4" w:rsidRPr="00724106">
        <w:rPr>
          <w:rFonts w:ascii="Arial" w:hAnsi="Arial" w:cs="Arial"/>
          <w:b w:val="0"/>
          <w:color w:val="000000" w:themeColor="text1"/>
          <w:sz w:val="24"/>
          <w:szCs w:val="24"/>
        </w:rPr>
        <w:t>razabilidad</w:t>
      </w:r>
      <w:r w:rsidRPr="00724106">
        <w:rPr>
          <w:rFonts w:ascii="Arial" w:hAnsi="Arial" w:cs="Arial"/>
          <w:b w:val="0"/>
          <w:color w:val="000000" w:themeColor="text1"/>
          <w:sz w:val="24"/>
          <w:szCs w:val="24"/>
        </w:rPr>
        <w:t xml:space="preserve"> S.A. presentó escrito evacuando la vista conferida, en dicha oportunidad formuló las siguientes </w:t>
      </w:r>
      <w:r w:rsidR="00576467" w:rsidRPr="00724106">
        <w:rPr>
          <w:rFonts w:ascii="Arial" w:hAnsi="Arial" w:cs="Arial"/>
          <w:b w:val="0"/>
          <w:color w:val="000000" w:themeColor="text1"/>
          <w:sz w:val="24"/>
          <w:szCs w:val="24"/>
        </w:rPr>
        <w:t>consideraciones:</w:t>
      </w:r>
      <w:r w:rsidR="00576467" w:rsidRPr="00724106">
        <w:rPr>
          <w:rFonts w:ascii="Arial" w:hAnsi="Arial" w:cs="Arial"/>
          <w:b w:val="0"/>
          <w:color w:val="000000" w:themeColor="text1"/>
        </w:rPr>
        <w:t xml:space="preserve"> </w:t>
      </w:r>
    </w:p>
    <w:p w:rsidR="00576467" w:rsidRPr="00724106" w:rsidRDefault="00024A80" w:rsidP="00B905F8">
      <w:pPr>
        <w:spacing w:line="360" w:lineRule="auto"/>
        <w:jc w:val="both"/>
        <w:rPr>
          <w:rFonts w:ascii="Arial" w:hAnsi="Arial" w:cs="Arial"/>
          <w:b w:val="0"/>
          <w:color w:val="000000" w:themeColor="text1"/>
        </w:rPr>
      </w:pPr>
      <w:r w:rsidRPr="00724106">
        <w:rPr>
          <w:rFonts w:ascii="Arial" w:hAnsi="Arial" w:cs="Arial"/>
          <w:color w:val="000000" w:themeColor="text1"/>
        </w:rPr>
        <w:t>10.1)</w:t>
      </w:r>
      <w:r w:rsidRPr="00724106">
        <w:rPr>
          <w:rFonts w:ascii="Arial" w:hAnsi="Arial" w:cs="Arial"/>
          <w:b w:val="0"/>
          <w:color w:val="000000" w:themeColor="text1"/>
        </w:rPr>
        <w:t xml:space="preserve"> </w:t>
      </w:r>
      <w:r w:rsidR="006C5838">
        <w:rPr>
          <w:rFonts w:ascii="Arial" w:hAnsi="Arial" w:cs="Arial"/>
          <w:b w:val="0"/>
          <w:color w:val="000000" w:themeColor="text1"/>
        </w:rPr>
        <w:t>“</w:t>
      </w:r>
      <w:r w:rsidR="00576467" w:rsidRPr="00724106">
        <w:rPr>
          <w:rFonts w:ascii="Arial" w:hAnsi="Arial" w:cs="Arial"/>
          <w:b w:val="0"/>
          <w:color w:val="000000" w:themeColor="text1"/>
        </w:rPr>
        <w:t>N</w:t>
      </w:r>
      <w:r w:rsidR="006C5838">
        <w:rPr>
          <w:rFonts w:ascii="Arial" w:hAnsi="Arial" w:cs="Arial"/>
          <w:b w:val="0"/>
          <w:color w:val="000000" w:themeColor="text1"/>
        </w:rPr>
        <w:t>unca</w:t>
      </w:r>
      <w:r w:rsidR="00576467" w:rsidRPr="00724106">
        <w:rPr>
          <w:rFonts w:ascii="Arial" w:hAnsi="Arial" w:cs="Arial"/>
          <w:b w:val="0"/>
          <w:color w:val="000000" w:themeColor="text1"/>
        </w:rPr>
        <w:t xml:space="preserve"> se especificó </w:t>
      </w:r>
      <w:r w:rsidRPr="00724106">
        <w:rPr>
          <w:rFonts w:ascii="Arial" w:hAnsi="Arial" w:cs="Arial"/>
          <w:b w:val="0"/>
          <w:color w:val="000000" w:themeColor="text1"/>
        </w:rPr>
        <w:t xml:space="preserve">en qué forma se iban a </w:t>
      </w:r>
      <w:r w:rsidR="00576467" w:rsidRPr="00724106">
        <w:rPr>
          <w:rFonts w:ascii="Arial" w:hAnsi="Arial" w:cs="Arial"/>
          <w:b w:val="0"/>
          <w:color w:val="000000" w:themeColor="text1"/>
        </w:rPr>
        <w:t>ponderar los antecedentes</w:t>
      </w:r>
      <w:r w:rsidR="006C5838">
        <w:rPr>
          <w:rFonts w:ascii="Arial" w:hAnsi="Arial" w:cs="Arial"/>
          <w:b w:val="0"/>
          <w:color w:val="000000" w:themeColor="text1"/>
        </w:rPr>
        <w:t xml:space="preserve"> (…) Este hecho de plano, acarrea la primera de las irregularidades</w:t>
      </w:r>
      <w:r w:rsidR="00576467" w:rsidRPr="00724106">
        <w:rPr>
          <w:rFonts w:ascii="Arial" w:hAnsi="Arial" w:cs="Arial"/>
          <w:b w:val="0"/>
          <w:color w:val="000000" w:themeColor="text1"/>
        </w:rPr>
        <w:t xml:space="preserve"> viola lo </w:t>
      </w:r>
      <w:r w:rsidR="00F70CD0">
        <w:rPr>
          <w:rFonts w:ascii="Arial" w:hAnsi="Arial" w:cs="Arial"/>
          <w:b w:val="0"/>
          <w:color w:val="000000" w:themeColor="text1"/>
        </w:rPr>
        <w:t>dispuesto</w:t>
      </w:r>
      <w:r w:rsidR="00576467" w:rsidRPr="00724106">
        <w:rPr>
          <w:rFonts w:ascii="Arial" w:hAnsi="Arial" w:cs="Arial"/>
          <w:b w:val="0"/>
          <w:color w:val="000000" w:themeColor="text1"/>
        </w:rPr>
        <w:t xml:space="preserve"> por el Artículo 48 del T.O.</w:t>
      </w:r>
      <w:r w:rsidRPr="00724106">
        <w:rPr>
          <w:rFonts w:ascii="Arial" w:hAnsi="Arial" w:cs="Arial"/>
          <w:b w:val="0"/>
          <w:color w:val="000000" w:themeColor="text1"/>
        </w:rPr>
        <w:t xml:space="preserve">C.A.F. en sus </w:t>
      </w:r>
      <w:r w:rsidR="008A2BA4">
        <w:rPr>
          <w:rFonts w:ascii="Arial" w:hAnsi="Arial" w:cs="Arial"/>
          <w:b w:val="0"/>
          <w:color w:val="000000" w:themeColor="text1"/>
        </w:rPr>
        <w:t>L</w:t>
      </w:r>
      <w:r w:rsidRPr="00724106">
        <w:rPr>
          <w:rFonts w:ascii="Arial" w:hAnsi="Arial" w:cs="Arial"/>
          <w:b w:val="0"/>
          <w:color w:val="000000" w:themeColor="text1"/>
        </w:rPr>
        <w:t xml:space="preserve">iterales </w:t>
      </w:r>
      <w:r w:rsidR="008A2BA4">
        <w:rPr>
          <w:rFonts w:ascii="Arial" w:hAnsi="Arial" w:cs="Arial"/>
          <w:b w:val="0"/>
          <w:color w:val="000000" w:themeColor="text1"/>
        </w:rPr>
        <w:t>C</w:t>
      </w:r>
      <w:r w:rsidRPr="00724106">
        <w:rPr>
          <w:rFonts w:ascii="Arial" w:hAnsi="Arial" w:cs="Arial"/>
          <w:b w:val="0"/>
          <w:color w:val="000000" w:themeColor="text1"/>
        </w:rPr>
        <w:t xml:space="preserve">) y </w:t>
      </w:r>
      <w:r w:rsidR="008A2BA4">
        <w:rPr>
          <w:rFonts w:ascii="Arial" w:hAnsi="Arial" w:cs="Arial"/>
          <w:b w:val="0"/>
          <w:color w:val="000000" w:themeColor="text1"/>
        </w:rPr>
        <w:t>H</w:t>
      </w:r>
      <w:r w:rsidRPr="00724106">
        <w:rPr>
          <w:rFonts w:ascii="Arial" w:hAnsi="Arial" w:cs="Arial"/>
          <w:b w:val="0"/>
          <w:color w:val="000000" w:themeColor="text1"/>
        </w:rPr>
        <w:t>)</w:t>
      </w:r>
      <w:r w:rsidR="00F70CD0">
        <w:rPr>
          <w:rFonts w:ascii="Arial" w:hAnsi="Arial" w:cs="Arial"/>
          <w:b w:val="0"/>
          <w:color w:val="000000" w:themeColor="text1"/>
        </w:rPr>
        <w:t>”</w:t>
      </w:r>
      <w:r w:rsidRPr="00724106">
        <w:rPr>
          <w:rFonts w:ascii="Arial" w:hAnsi="Arial" w:cs="Arial"/>
          <w:b w:val="0"/>
          <w:color w:val="000000" w:themeColor="text1"/>
        </w:rPr>
        <w:t xml:space="preserve">; </w:t>
      </w:r>
    </w:p>
    <w:p w:rsidR="00576467" w:rsidRPr="00724106" w:rsidRDefault="00024A80" w:rsidP="00B905F8">
      <w:pPr>
        <w:spacing w:line="360" w:lineRule="auto"/>
        <w:jc w:val="both"/>
        <w:rPr>
          <w:rFonts w:ascii="Arial" w:hAnsi="Arial" w:cs="Arial"/>
          <w:b w:val="0"/>
          <w:color w:val="000000" w:themeColor="text1"/>
        </w:rPr>
      </w:pPr>
      <w:r w:rsidRPr="00724106">
        <w:rPr>
          <w:rFonts w:ascii="Arial" w:hAnsi="Arial" w:cs="Arial"/>
          <w:color w:val="000000" w:themeColor="text1"/>
        </w:rPr>
        <w:t>10.2)</w:t>
      </w:r>
      <w:r w:rsidRPr="00724106">
        <w:rPr>
          <w:rFonts w:ascii="Arial" w:hAnsi="Arial" w:cs="Arial"/>
          <w:b w:val="0"/>
          <w:color w:val="000000" w:themeColor="text1"/>
        </w:rPr>
        <w:t xml:space="preserve"> </w:t>
      </w:r>
      <w:r w:rsidR="00F70CD0">
        <w:rPr>
          <w:rFonts w:ascii="Arial" w:hAnsi="Arial" w:cs="Arial"/>
          <w:b w:val="0"/>
          <w:color w:val="000000" w:themeColor="text1"/>
        </w:rPr>
        <w:t>“(….) también s</w:t>
      </w:r>
      <w:r w:rsidR="00576467" w:rsidRPr="00724106">
        <w:rPr>
          <w:rFonts w:ascii="Arial" w:hAnsi="Arial" w:cs="Arial"/>
          <w:b w:val="0"/>
          <w:color w:val="000000" w:themeColor="text1"/>
        </w:rPr>
        <w:t xml:space="preserve">e viola el Artículo 49 del T.O.C.A.F. por cuanto el criterio de evaluación de los antecedentes es claramente parcial y tendencioso a favor de </w:t>
      </w:r>
      <w:proofErr w:type="spellStart"/>
      <w:r w:rsidR="00576467" w:rsidRPr="00724106">
        <w:rPr>
          <w:rFonts w:ascii="Arial" w:hAnsi="Arial" w:cs="Arial"/>
          <w:b w:val="0"/>
          <w:color w:val="000000" w:themeColor="text1"/>
        </w:rPr>
        <w:t>L</w:t>
      </w:r>
      <w:r w:rsidR="008A2BA4" w:rsidRPr="00724106">
        <w:rPr>
          <w:rFonts w:ascii="Arial" w:hAnsi="Arial" w:cs="Arial"/>
          <w:b w:val="0"/>
          <w:color w:val="000000" w:themeColor="text1"/>
        </w:rPr>
        <w:t>emifar</w:t>
      </w:r>
      <w:proofErr w:type="spellEnd"/>
      <w:r w:rsidR="00576467" w:rsidRPr="00724106">
        <w:rPr>
          <w:rFonts w:ascii="Arial" w:hAnsi="Arial" w:cs="Arial"/>
          <w:b w:val="0"/>
          <w:color w:val="000000" w:themeColor="text1"/>
        </w:rPr>
        <w:t xml:space="preserve"> S.A</w:t>
      </w:r>
      <w:r w:rsidR="008A2BA4">
        <w:rPr>
          <w:rFonts w:ascii="Arial" w:hAnsi="Arial" w:cs="Arial"/>
          <w:b w:val="0"/>
          <w:color w:val="000000" w:themeColor="text1"/>
        </w:rPr>
        <w:t>.</w:t>
      </w:r>
      <w:r w:rsidR="00576467" w:rsidRPr="00724106">
        <w:rPr>
          <w:rFonts w:ascii="Arial" w:hAnsi="Arial" w:cs="Arial"/>
          <w:b w:val="0"/>
          <w:color w:val="000000" w:themeColor="text1"/>
        </w:rPr>
        <w:t xml:space="preserve"> (</w:t>
      </w:r>
      <w:proofErr w:type="spellStart"/>
      <w:r w:rsidR="00576467" w:rsidRPr="00724106">
        <w:rPr>
          <w:rFonts w:ascii="Arial" w:hAnsi="Arial" w:cs="Arial"/>
          <w:b w:val="0"/>
          <w:color w:val="000000" w:themeColor="text1"/>
        </w:rPr>
        <w:t>Allflex</w:t>
      </w:r>
      <w:proofErr w:type="spellEnd"/>
      <w:r w:rsidR="00576467" w:rsidRPr="00724106">
        <w:rPr>
          <w:rFonts w:ascii="Arial" w:hAnsi="Arial" w:cs="Arial"/>
          <w:b w:val="0"/>
          <w:color w:val="000000" w:themeColor="text1"/>
        </w:rPr>
        <w:t xml:space="preserve">). </w:t>
      </w:r>
      <w:r w:rsidR="00F70CD0">
        <w:rPr>
          <w:rFonts w:ascii="Arial" w:hAnsi="Arial" w:cs="Arial"/>
          <w:b w:val="0"/>
          <w:color w:val="000000" w:themeColor="text1"/>
        </w:rPr>
        <w:t>(…) es así</w:t>
      </w:r>
      <w:r w:rsidR="00576467" w:rsidRPr="00724106">
        <w:rPr>
          <w:rFonts w:ascii="Arial" w:hAnsi="Arial" w:cs="Arial"/>
          <w:b w:val="0"/>
          <w:color w:val="000000" w:themeColor="text1"/>
        </w:rPr>
        <w:t xml:space="preserve"> que sin fundamento real y válido alguno, atribuyen arbitrariamente puntos por los antecedentes obtenidos en determinados países en los que </w:t>
      </w:r>
      <w:proofErr w:type="spellStart"/>
      <w:r w:rsidR="00576467" w:rsidRPr="00724106">
        <w:rPr>
          <w:rFonts w:ascii="Arial" w:hAnsi="Arial" w:cs="Arial"/>
          <w:b w:val="0"/>
          <w:color w:val="000000" w:themeColor="text1"/>
        </w:rPr>
        <w:t>Allflex</w:t>
      </w:r>
      <w:proofErr w:type="spellEnd"/>
      <w:r w:rsidR="00576467" w:rsidRPr="00724106">
        <w:rPr>
          <w:rFonts w:ascii="Arial" w:hAnsi="Arial" w:cs="Arial"/>
          <w:b w:val="0"/>
          <w:color w:val="000000" w:themeColor="text1"/>
        </w:rPr>
        <w:t xml:space="preserve"> opera en régimen de monopolio o cuasi  - monopolio, puntuando en forma claramente inferior a aquellos países</w:t>
      </w:r>
      <w:r w:rsidR="00F70CD0">
        <w:rPr>
          <w:rFonts w:ascii="Arial" w:hAnsi="Arial" w:cs="Arial"/>
          <w:b w:val="0"/>
          <w:color w:val="000000" w:themeColor="text1"/>
        </w:rPr>
        <w:t xml:space="preserve"> en los que mi representada tiene mayor presencia. Se le otorga mayor puntaje de evaluación a los</w:t>
      </w:r>
      <w:r w:rsidR="004A5882">
        <w:rPr>
          <w:rFonts w:ascii="Arial" w:hAnsi="Arial" w:cs="Arial"/>
          <w:b w:val="0"/>
          <w:color w:val="000000" w:themeColor="text1"/>
        </w:rPr>
        <w:t xml:space="preserve"> antecedentes en aquellos países</w:t>
      </w:r>
      <w:r w:rsidR="00576467" w:rsidRPr="00724106">
        <w:rPr>
          <w:rFonts w:ascii="Arial" w:hAnsi="Arial" w:cs="Arial"/>
          <w:b w:val="0"/>
          <w:color w:val="000000" w:themeColor="text1"/>
        </w:rPr>
        <w:t xml:space="preserve">, en cuyo Sistema Oficial de Trazabilidad </w:t>
      </w:r>
      <w:proofErr w:type="spellStart"/>
      <w:r w:rsidR="00576467" w:rsidRPr="00724106">
        <w:rPr>
          <w:rFonts w:ascii="Arial" w:hAnsi="Arial" w:cs="Arial"/>
          <w:b w:val="0"/>
          <w:color w:val="000000" w:themeColor="text1"/>
        </w:rPr>
        <w:t>Allflex</w:t>
      </w:r>
      <w:proofErr w:type="spellEnd"/>
      <w:r w:rsidR="00576467" w:rsidRPr="00724106">
        <w:rPr>
          <w:rFonts w:ascii="Arial" w:hAnsi="Arial" w:cs="Arial"/>
          <w:b w:val="0"/>
          <w:color w:val="000000" w:themeColor="text1"/>
        </w:rPr>
        <w:t xml:space="preserve"> tiene el monopolio (directo o indirecto) del abastecimiento, caso Uruguay, Francia y Canadá</w:t>
      </w:r>
      <w:r w:rsidR="008A2BA4">
        <w:rPr>
          <w:rFonts w:ascii="Arial" w:hAnsi="Arial" w:cs="Arial"/>
          <w:b w:val="0"/>
          <w:color w:val="000000" w:themeColor="text1"/>
        </w:rPr>
        <w:t>,</w:t>
      </w:r>
      <w:r w:rsidR="00576467" w:rsidRPr="00724106">
        <w:rPr>
          <w:rFonts w:ascii="Arial" w:hAnsi="Arial" w:cs="Arial"/>
          <w:b w:val="0"/>
          <w:color w:val="000000" w:themeColor="text1"/>
        </w:rPr>
        <w:t xml:space="preserve"> o mayor cantidad de </w:t>
      </w:r>
      <w:r w:rsidR="001504AD" w:rsidRPr="00724106">
        <w:rPr>
          <w:rFonts w:ascii="Arial" w:hAnsi="Arial" w:cs="Arial"/>
          <w:b w:val="0"/>
          <w:color w:val="000000" w:themeColor="text1"/>
        </w:rPr>
        <w:t>Caravanas vendidas (Australia)</w:t>
      </w:r>
      <w:r w:rsidR="004A5882">
        <w:rPr>
          <w:rFonts w:ascii="Arial" w:hAnsi="Arial" w:cs="Arial"/>
          <w:b w:val="0"/>
          <w:color w:val="000000" w:themeColor="text1"/>
        </w:rPr>
        <w:t>”</w:t>
      </w:r>
      <w:r w:rsidR="001504AD" w:rsidRPr="00724106">
        <w:rPr>
          <w:rFonts w:ascii="Arial" w:hAnsi="Arial" w:cs="Arial"/>
          <w:b w:val="0"/>
          <w:color w:val="000000" w:themeColor="text1"/>
        </w:rPr>
        <w:t xml:space="preserve">; </w:t>
      </w:r>
    </w:p>
    <w:p w:rsidR="00576467" w:rsidRPr="00724106" w:rsidRDefault="00024A80" w:rsidP="00B905F8">
      <w:pPr>
        <w:spacing w:line="360" w:lineRule="auto"/>
        <w:jc w:val="both"/>
        <w:rPr>
          <w:rFonts w:ascii="Arial" w:hAnsi="Arial" w:cs="Arial"/>
          <w:b w:val="0"/>
          <w:color w:val="000000" w:themeColor="text1"/>
        </w:rPr>
      </w:pPr>
      <w:r w:rsidRPr="00724106">
        <w:rPr>
          <w:rFonts w:ascii="Arial" w:hAnsi="Arial" w:cs="Arial"/>
          <w:color w:val="000000" w:themeColor="text1"/>
        </w:rPr>
        <w:t>10.3)</w:t>
      </w:r>
      <w:r w:rsidRPr="00724106">
        <w:rPr>
          <w:rFonts w:ascii="Arial" w:hAnsi="Arial" w:cs="Arial"/>
          <w:b w:val="0"/>
          <w:color w:val="000000" w:themeColor="text1"/>
        </w:rPr>
        <w:t xml:space="preserve"> </w:t>
      </w:r>
      <w:r w:rsidR="004A5882">
        <w:rPr>
          <w:rFonts w:ascii="Arial" w:hAnsi="Arial" w:cs="Arial"/>
          <w:b w:val="0"/>
          <w:color w:val="000000" w:themeColor="text1"/>
        </w:rPr>
        <w:t>(…) no s</w:t>
      </w:r>
      <w:r w:rsidR="008A2BA4">
        <w:rPr>
          <w:rFonts w:ascii="Arial" w:hAnsi="Arial" w:cs="Arial"/>
          <w:b w:val="0"/>
          <w:color w:val="000000" w:themeColor="text1"/>
        </w:rPr>
        <w:t>ó</w:t>
      </w:r>
      <w:r w:rsidR="004A5882">
        <w:rPr>
          <w:rFonts w:ascii="Arial" w:hAnsi="Arial" w:cs="Arial"/>
          <w:b w:val="0"/>
          <w:color w:val="000000" w:themeColor="text1"/>
        </w:rPr>
        <w:t xml:space="preserve">lo no se </w:t>
      </w:r>
      <w:r w:rsidR="00576467" w:rsidRPr="00724106">
        <w:rPr>
          <w:rFonts w:ascii="Arial" w:hAnsi="Arial" w:cs="Arial"/>
          <w:b w:val="0"/>
          <w:color w:val="000000" w:themeColor="text1"/>
        </w:rPr>
        <w:t xml:space="preserve">explicó en el Pliego de Condiciones de la </w:t>
      </w:r>
      <w:r w:rsidR="008A2BA4">
        <w:rPr>
          <w:rFonts w:ascii="Arial" w:hAnsi="Arial" w:cs="Arial"/>
          <w:b w:val="0"/>
          <w:color w:val="000000" w:themeColor="text1"/>
        </w:rPr>
        <w:t>L</w:t>
      </w:r>
      <w:r w:rsidR="00576467" w:rsidRPr="00724106">
        <w:rPr>
          <w:rFonts w:ascii="Arial" w:hAnsi="Arial" w:cs="Arial"/>
          <w:b w:val="0"/>
          <w:color w:val="000000" w:themeColor="text1"/>
        </w:rPr>
        <w:t>icitación en forma clara, fundada y criteriosa  la forma en que se iba</w:t>
      </w:r>
      <w:r w:rsidR="008A2BA4">
        <w:rPr>
          <w:rFonts w:ascii="Arial" w:hAnsi="Arial" w:cs="Arial"/>
          <w:b w:val="0"/>
          <w:color w:val="000000" w:themeColor="text1"/>
        </w:rPr>
        <w:t>n</w:t>
      </w:r>
      <w:r w:rsidR="00576467" w:rsidRPr="00724106">
        <w:rPr>
          <w:rFonts w:ascii="Arial" w:hAnsi="Arial" w:cs="Arial"/>
          <w:b w:val="0"/>
          <w:color w:val="000000" w:themeColor="text1"/>
        </w:rPr>
        <w:t xml:space="preserve"> a evaluar  y ponderar los antecedentes tal como lo establece el Artículo 48 </w:t>
      </w:r>
      <w:r w:rsidR="00BE77D0">
        <w:rPr>
          <w:rFonts w:ascii="Arial" w:hAnsi="Arial" w:cs="Arial"/>
          <w:b w:val="0"/>
          <w:color w:val="000000" w:themeColor="text1"/>
        </w:rPr>
        <w:t>L</w:t>
      </w:r>
      <w:r w:rsidR="00576467" w:rsidRPr="00724106">
        <w:rPr>
          <w:rFonts w:ascii="Arial" w:hAnsi="Arial" w:cs="Arial"/>
          <w:b w:val="0"/>
          <w:color w:val="000000" w:themeColor="text1"/>
        </w:rPr>
        <w:t xml:space="preserve">iteral C) del </w:t>
      </w:r>
      <w:r w:rsidR="00576467" w:rsidRPr="00724106">
        <w:rPr>
          <w:rFonts w:ascii="Arial" w:hAnsi="Arial" w:cs="Arial"/>
          <w:b w:val="0"/>
          <w:color w:val="000000" w:themeColor="text1"/>
        </w:rPr>
        <w:lastRenderedPageBreak/>
        <w:t xml:space="preserve">T.O.C.A.F., ni tampoco se aclaró </w:t>
      </w:r>
      <w:r w:rsidR="004A5882">
        <w:rPr>
          <w:rFonts w:ascii="Arial" w:hAnsi="Arial" w:cs="Arial"/>
          <w:b w:val="0"/>
          <w:color w:val="000000" w:themeColor="text1"/>
        </w:rPr>
        <w:t xml:space="preserve">en </w:t>
      </w:r>
      <w:r w:rsidR="00576467" w:rsidRPr="00724106">
        <w:rPr>
          <w:rFonts w:ascii="Arial" w:hAnsi="Arial" w:cs="Arial"/>
          <w:b w:val="0"/>
          <w:color w:val="000000" w:themeColor="text1"/>
        </w:rPr>
        <w:t xml:space="preserve">la oportunidad en que </w:t>
      </w:r>
      <w:r w:rsidR="004A5882">
        <w:rPr>
          <w:rFonts w:ascii="Arial" w:hAnsi="Arial" w:cs="Arial"/>
          <w:b w:val="0"/>
          <w:color w:val="000000" w:themeColor="text1"/>
        </w:rPr>
        <w:t>nos</w:t>
      </w:r>
      <w:r w:rsidR="00576467" w:rsidRPr="00724106">
        <w:rPr>
          <w:rFonts w:ascii="Arial" w:hAnsi="Arial" w:cs="Arial"/>
          <w:b w:val="0"/>
          <w:color w:val="000000" w:themeColor="text1"/>
        </w:rPr>
        <w:t xml:space="preserve"> presenta</w:t>
      </w:r>
      <w:r w:rsidR="004A5882">
        <w:rPr>
          <w:rFonts w:ascii="Arial" w:hAnsi="Arial" w:cs="Arial"/>
          <w:b w:val="0"/>
          <w:color w:val="000000" w:themeColor="text1"/>
        </w:rPr>
        <w:t>mos</w:t>
      </w:r>
      <w:r w:rsidR="00576467" w:rsidRPr="00724106">
        <w:rPr>
          <w:rFonts w:ascii="Arial" w:hAnsi="Arial" w:cs="Arial"/>
          <w:b w:val="0"/>
          <w:color w:val="000000" w:themeColor="text1"/>
        </w:rPr>
        <w:t xml:space="preserve"> a consultar específicamente esto en el escrito presentado el 16 de octubre de 2014</w:t>
      </w:r>
      <w:r w:rsidR="004A5882">
        <w:rPr>
          <w:rFonts w:ascii="Arial" w:hAnsi="Arial" w:cs="Arial"/>
          <w:b w:val="0"/>
          <w:color w:val="000000" w:themeColor="text1"/>
        </w:rPr>
        <w:t xml:space="preserve">”; </w:t>
      </w:r>
    </w:p>
    <w:p w:rsidR="00EC741F" w:rsidRDefault="00A31EFF" w:rsidP="00EC741F">
      <w:pPr>
        <w:spacing w:line="360" w:lineRule="auto"/>
        <w:jc w:val="both"/>
        <w:rPr>
          <w:rFonts w:ascii="Arial" w:eastAsiaTheme="majorEastAsia" w:hAnsi="Arial" w:cs="Arial"/>
          <w:b w:val="0"/>
          <w:color w:val="000000" w:themeColor="text1"/>
          <w:szCs w:val="24"/>
        </w:rPr>
      </w:pPr>
      <w:r w:rsidRPr="00724106">
        <w:rPr>
          <w:rFonts w:ascii="Arial" w:hAnsi="Arial" w:cs="Arial"/>
          <w:bCs/>
          <w:color w:val="000000" w:themeColor="text1"/>
          <w:szCs w:val="24"/>
        </w:rPr>
        <w:t xml:space="preserve">                              11</w:t>
      </w:r>
      <w:r w:rsidRPr="00724106">
        <w:rPr>
          <w:rFonts w:ascii="Arial" w:hAnsi="Arial" w:cs="Arial"/>
          <w:color w:val="000000" w:themeColor="text1"/>
          <w:szCs w:val="24"/>
        </w:rPr>
        <w:t xml:space="preserve">) </w:t>
      </w:r>
      <w:r w:rsidRPr="00724106">
        <w:rPr>
          <w:rFonts w:ascii="Arial" w:hAnsi="Arial" w:cs="Arial"/>
          <w:b w:val="0"/>
          <w:color w:val="000000" w:themeColor="text1"/>
          <w:szCs w:val="24"/>
        </w:rPr>
        <w:t xml:space="preserve">que la Comisión Asesora de Adjudicaciones, con fecha </w:t>
      </w:r>
      <w:r w:rsidR="00576467" w:rsidRPr="00724106">
        <w:rPr>
          <w:rFonts w:ascii="Arial" w:hAnsi="Arial" w:cs="Arial"/>
          <w:b w:val="0"/>
          <w:color w:val="000000" w:themeColor="text1"/>
          <w:szCs w:val="24"/>
        </w:rPr>
        <w:t>5</w:t>
      </w:r>
      <w:r w:rsidRPr="00724106">
        <w:rPr>
          <w:rFonts w:ascii="Arial" w:hAnsi="Arial" w:cs="Arial"/>
          <w:b w:val="0"/>
          <w:color w:val="000000" w:themeColor="text1"/>
          <w:szCs w:val="24"/>
        </w:rPr>
        <w:t xml:space="preserve"> de febrero de </w:t>
      </w:r>
      <w:r w:rsidR="00576467" w:rsidRPr="00724106">
        <w:rPr>
          <w:rFonts w:ascii="Arial" w:hAnsi="Arial" w:cs="Arial"/>
          <w:b w:val="0"/>
          <w:color w:val="000000" w:themeColor="text1"/>
          <w:szCs w:val="24"/>
        </w:rPr>
        <w:t>2015</w:t>
      </w:r>
      <w:r w:rsidRPr="00724106">
        <w:rPr>
          <w:rFonts w:ascii="Arial" w:hAnsi="Arial" w:cs="Arial"/>
          <w:b w:val="0"/>
          <w:color w:val="000000" w:themeColor="text1"/>
          <w:szCs w:val="24"/>
        </w:rPr>
        <w:t>, c</w:t>
      </w:r>
      <w:r w:rsidR="00576467" w:rsidRPr="00724106">
        <w:rPr>
          <w:rFonts w:ascii="Arial" w:eastAsiaTheme="majorEastAsia" w:hAnsi="Arial" w:cs="Arial"/>
          <w:b w:val="0"/>
          <w:color w:val="000000" w:themeColor="text1"/>
          <w:szCs w:val="24"/>
        </w:rPr>
        <w:t xml:space="preserve">on referencia a la vista evacuada por la </w:t>
      </w:r>
      <w:r w:rsidR="001B280E">
        <w:rPr>
          <w:rFonts w:ascii="Arial" w:eastAsiaTheme="majorEastAsia" w:hAnsi="Arial" w:cs="Arial"/>
          <w:b w:val="0"/>
          <w:color w:val="000000" w:themeColor="text1"/>
          <w:szCs w:val="24"/>
        </w:rPr>
        <w:t>F</w:t>
      </w:r>
      <w:r w:rsidR="00576467" w:rsidRPr="00724106">
        <w:rPr>
          <w:rFonts w:ascii="Arial" w:eastAsiaTheme="majorEastAsia" w:hAnsi="Arial" w:cs="Arial"/>
          <w:b w:val="0"/>
          <w:color w:val="000000" w:themeColor="text1"/>
          <w:szCs w:val="24"/>
        </w:rPr>
        <w:t xml:space="preserve">irma </w:t>
      </w:r>
      <w:proofErr w:type="spellStart"/>
      <w:r w:rsidR="00576467" w:rsidRPr="00724106">
        <w:rPr>
          <w:rFonts w:ascii="Arial" w:eastAsiaTheme="majorEastAsia" w:hAnsi="Arial" w:cs="Arial"/>
          <w:b w:val="0"/>
          <w:color w:val="000000" w:themeColor="text1"/>
          <w:szCs w:val="24"/>
        </w:rPr>
        <w:t>D</w:t>
      </w:r>
      <w:r w:rsidR="001B280E" w:rsidRPr="00724106">
        <w:rPr>
          <w:rFonts w:ascii="Arial" w:eastAsiaTheme="majorEastAsia" w:hAnsi="Arial" w:cs="Arial"/>
          <w:b w:val="0"/>
          <w:color w:val="000000" w:themeColor="text1"/>
          <w:szCs w:val="24"/>
        </w:rPr>
        <w:t>atamars</w:t>
      </w:r>
      <w:proofErr w:type="spellEnd"/>
      <w:r w:rsidR="00576467" w:rsidRPr="00724106">
        <w:rPr>
          <w:rFonts w:ascii="Arial" w:eastAsiaTheme="majorEastAsia" w:hAnsi="Arial" w:cs="Arial"/>
          <w:b w:val="0"/>
          <w:color w:val="000000" w:themeColor="text1"/>
          <w:szCs w:val="24"/>
        </w:rPr>
        <w:t xml:space="preserve"> T</w:t>
      </w:r>
      <w:r w:rsidR="001B280E" w:rsidRPr="00724106">
        <w:rPr>
          <w:rFonts w:ascii="Arial" w:eastAsiaTheme="majorEastAsia" w:hAnsi="Arial" w:cs="Arial"/>
          <w:b w:val="0"/>
          <w:color w:val="000000" w:themeColor="text1"/>
          <w:szCs w:val="24"/>
        </w:rPr>
        <w:t>razabilidad</w:t>
      </w:r>
      <w:r w:rsidR="00576467" w:rsidRPr="00724106">
        <w:rPr>
          <w:rFonts w:ascii="Arial" w:eastAsiaTheme="majorEastAsia" w:hAnsi="Arial" w:cs="Arial"/>
          <w:b w:val="0"/>
          <w:color w:val="000000" w:themeColor="text1"/>
          <w:szCs w:val="24"/>
        </w:rPr>
        <w:t xml:space="preserve"> S.A., efectu</w:t>
      </w:r>
      <w:r w:rsidRPr="00724106">
        <w:rPr>
          <w:rFonts w:ascii="Arial" w:eastAsiaTheme="majorEastAsia" w:hAnsi="Arial" w:cs="Arial"/>
          <w:b w:val="0"/>
          <w:color w:val="000000" w:themeColor="text1"/>
          <w:szCs w:val="24"/>
        </w:rPr>
        <w:t>ó</w:t>
      </w:r>
      <w:r w:rsidR="00576467" w:rsidRPr="00724106">
        <w:rPr>
          <w:rFonts w:ascii="Arial" w:eastAsiaTheme="majorEastAsia" w:hAnsi="Arial" w:cs="Arial"/>
          <w:b w:val="0"/>
          <w:color w:val="000000" w:themeColor="text1"/>
          <w:szCs w:val="24"/>
        </w:rPr>
        <w:t xml:space="preserve"> las siguientes puntualizaciones:</w:t>
      </w:r>
    </w:p>
    <w:p w:rsidR="00CA15AA" w:rsidRDefault="00A31EFF" w:rsidP="00CA15AA">
      <w:pPr>
        <w:spacing w:line="360" w:lineRule="auto"/>
        <w:jc w:val="both"/>
        <w:rPr>
          <w:rFonts w:ascii="Arial" w:hAnsi="Arial" w:cs="Arial"/>
          <w:b w:val="0"/>
          <w:color w:val="000000" w:themeColor="text1"/>
          <w:szCs w:val="24"/>
        </w:rPr>
      </w:pPr>
      <w:r w:rsidRPr="00724106">
        <w:rPr>
          <w:rFonts w:ascii="Arial" w:hAnsi="Arial" w:cs="Arial"/>
          <w:color w:val="000000" w:themeColor="text1"/>
          <w:szCs w:val="24"/>
        </w:rPr>
        <w:t>11.1)</w:t>
      </w:r>
      <w:r w:rsidRPr="00724106">
        <w:rPr>
          <w:rFonts w:ascii="Arial" w:hAnsi="Arial" w:cs="Arial"/>
          <w:b w:val="0"/>
          <w:color w:val="000000" w:themeColor="text1"/>
          <w:szCs w:val="24"/>
        </w:rPr>
        <w:t xml:space="preserve"> </w:t>
      </w:r>
      <w:r w:rsidR="00576467" w:rsidRPr="00724106">
        <w:rPr>
          <w:rFonts w:ascii="Arial" w:hAnsi="Arial" w:cs="Arial"/>
          <w:b w:val="0"/>
          <w:color w:val="000000" w:themeColor="text1"/>
          <w:szCs w:val="24"/>
        </w:rPr>
        <w:t>Con referencia a que la forma de evaluar fue “parcial y tendenciosa” no se comparte la misma, dado que tanto en la elaboración del Pliego</w:t>
      </w:r>
      <w:r w:rsidR="001B280E">
        <w:rPr>
          <w:rFonts w:ascii="Arial" w:hAnsi="Arial" w:cs="Arial"/>
          <w:b w:val="0"/>
          <w:color w:val="000000" w:themeColor="text1"/>
          <w:szCs w:val="24"/>
        </w:rPr>
        <w:t>,</w:t>
      </w:r>
      <w:r w:rsidR="00576467" w:rsidRPr="00724106">
        <w:rPr>
          <w:rFonts w:ascii="Arial" w:hAnsi="Arial" w:cs="Arial"/>
          <w:b w:val="0"/>
          <w:color w:val="000000" w:themeColor="text1"/>
          <w:szCs w:val="24"/>
        </w:rPr>
        <w:t xml:space="preserve"> así como precisamente en la valoración de antecedentes, se consideraron todos los aspectos necesarios para que la evaluación se efectúe de la manera más justa y objetiva posible, de acuerdo </w:t>
      </w:r>
      <w:r w:rsidR="001B280E">
        <w:rPr>
          <w:rFonts w:ascii="Arial" w:hAnsi="Arial" w:cs="Arial"/>
          <w:b w:val="0"/>
          <w:color w:val="000000" w:themeColor="text1"/>
          <w:szCs w:val="24"/>
        </w:rPr>
        <w:t>con</w:t>
      </w:r>
      <w:r w:rsidR="00576467" w:rsidRPr="00724106">
        <w:rPr>
          <w:rFonts w:ascii="Arial" w:hAnsi="Arial" w:cs="Arial"/>
          <w:b w:val="0"/>
          <w:color w:val="000000" w:themeColor="text1"/>
          <w:szCs w:val="24"/>
        </w:rPr>
        <w:t xml:space="preserve"> las exigencias del sistema de trazabilidad Uruguayo, al contexto actual del mercado y respetando las disposiciones del T.O.C.A.F. En tal sentido se efectuaron varias modificaciones que denotan el ánimo de incrementar las posibilidades de competencia y acceso al mercado </w:t>
      </w:r>
      <w:r w:rsidR="001B280E">
        <w:rPr>
          <w:rFonts w:ascii="Arial" w:hAnsi="Arial" w:cs="Arial"/>
          <w:b w:val="0"/>
          <w:color w:val="000000" w:themeColor="text1"/>
          <w:szCs w:val="24"/>
        </w:rPr>
        <w:t>u</w:t>
      </w:r>
      <w:r w:rsidR="00576467" w:rsidRPr="00724106">
        <w:rPr>
          <w:rFonts w:ascii="Arial" w:hAnsi="Arial" w:cs="Arial"/>
          <w:b w:val="0"/>
          <w:color w:val="000000" w:themeColor="text1"/>
          <w:szCs w:val="24"/>
        </w:rPr>
        <w:t>ruguayo. Por ejemplo, se sub-dividió el pedido de caravanas en dos ítems de manera que las empresas que no pudieran cumplir con la producción y entrega de la totalidad de los dispositivos, tendrían la opción de ofertar en el ítem de menor cantidad, generando así un antecedente como proveedor</w:t>
      </w:r>
      <w:r w:rsidR="001B280E">
        <w:rPr>
          <w:rFonts w:ascii="Arial" w:hAnsi="Arial" w:cs="Arial"/>
          <w:b w:val="0"/>
          <w:color w:val="000000" w:themeColor="text1"/>
          <w:szCs w:val="24"/>
        </w:rPr>
        <w:t>;</w:t>
      </w:r>
    </w:p>
    <w:p w:rsidR="00CA15AA" w:rsidRDefault="00A31EFF" w:rsidP="00CA15AA">
      <w:pPr>
        <w:spacing w:line="360" w:lineRule="auto"/>
        <w:jc w:val="both"/>
        <w:rPr>
          <w:rFonts w:ascii="Arial" w:hAnsi="Arial" w:cs="Arial"/>
          <w:b w:val="0"/>
          <w:color w:val="000000" w:themeColor="text1"/>
          <w:szCs w:val="24"/>
        </w:rPr>
      </w:pPr>
      <w:r w:rsidRPr="00724106">
        <w:rPr>
          <w:rFonts w:ascii="Arial" w:hAnsi="Arial" w:cs="Arial"/>
          <w:color w:val="000000" w:themeColor="text1"/>
          <w:szCs w:val="24"/>
        </w:rPr>
        <w:t>11.2)</w:t>
      </w:r>
      <w:r w:rsidRPr="00724106">
        <w:rPr>
          <w:rFonts w:ascii="Arial" w:hAnsi="Arial" w:cs="Arial"/>
          <w:b w:val="0"/>
          <w:color w:val="000000" w:themeColor="text1"/>
          <w:szCs w:val="24"/>
        </w:rPr>
        <w:t xml:space="preserve"> </w:t>
      </w:r>
      <w:r w:rsidR="00576467" w:rsidRPr="00724106">
        <w:rPr>
          <w:rFonts w:ascii="Arial" w:hAnsi="Arial" w:cs="Arial"/>
          <w:b w:val="0"/>
          <w:color w:val="000000" w:themeColor="text1"/>
          <w:szCs w:val="24"/>
        </w:rPr>
        <w:t xml:space="preserve">Evaluación económica: se expresa </w:t>
      </w:r>
      <w:r w:rsidR="007C1322" w:rsidRPr="00724106">
        <w:rPr>
          <w:rFonts w:ascii="Arial" w:hAnsi="Arial" w:cs="Arial"/>
          <w:b w:val="0"/>
          <w:color w:val="000000" w:themeColor="text1"/>
          <w:szCs w:val="24"/>
        </w:rPr>
        <w:t xml:space="preserve">que </w:t>
      </w:r>
      <w:proofErr w:type="spellStart"/>
      <w:r w:rsidR="007C1322" w:rsidRPr="00724106">
        <w:rPr>
          <w:rFonts w:ascii="Arial" w:hAnsi="Arial" w:cs="Arial"/>
          <w:b w:val="0"/>
          <w:color w:val="000000" w:themeColor="text1"/>
          <w:szCs w:val="24"/>
        </w:rPr>
        <w:t>D</w:t>
      </w:r>
      <w:r w:rsidR="001B280E" w:rsidRPr="00724106">
        <w:rPr>
          <w:rFonts w:ascii="Arial" w:hAnsi="Arial" w:cs="Arial"/>
          <w:b w:val="0"/>
          <w:color w:val="000000" w:themeColor="text1"/>
          <w:szCs w:val="24"/>
        </w:rPr>
        <w:t>atamars</w:t>
      </w:r>
      <w:proofErr w:type="spellEnd"/>
      <w:r w:rsidR="007C1322" w:rsidRPr="00724106">
        <w:rPr>
          <w:rFonts w:ascii="Arial" w:hAnsi="Arial" w:cs="Arial"/>
          <w:b w:val="0"/>
          <w:color w:val="000000" w:themeColor="text1"/>
          <w:szCs w:val="24"/>
        </w:rPr>
        <w:t xml:space="preserve"> T</w:t>
      </w:r>
      <w:r w:rsidR="001B280E" w:rsidRPr="00724106">
        <w:rPr>
          <w:rFonts w:ascii="Arial" w:hAnsi="Arial" w:cs="Arial"/>
          <w:b w:val="0"/>
          <w:color w:val="000000" w:themeColor="text1"/>
          <w:szCs w:val="24"/>
        </w:rPr>
        <w:t>razabilidad</w:t>
      </w:r>
      <w:r w:rsidR="007C1322" w:rsidRPr="00724106">
        <w:rPr>
          <w:rFonts w:ascii="Arial" w:hAnsi="Arial" w:cs="Arial"/>
          <w:b w:val="0"/>
          <w:color w:val="000000" w:themeColor="text1"/>
          <w:szCs w:val="24"/>
        </w:rPr>
        <w:t xml:space="preserve"> S.A. o</w:t>
      </w:r>
      <w:r w:rsidR="00B657A8" w:rsidRPr="00724106">
        <w:rPr>
          <w:rFonts w:ascii="Arial" w:hAnsi="Arial" w:cs="Arial"/>
          <w:b w:val="0"/>
          <w:color w:val="000000" w:themeColor="text1"/>
          <w:szCs w:val="24"/>
        </w:rPr>
        <w:t>b</w:t>
      </w:r>
      <w:r w:rsidR="001B280E">
        <w:rPr>
          <w:rFonts w:ascii="Arial" w:hAnsi="Arial" w:cs="Arial"/>
          <w:b w:val="0"/>
          <w:color w:val="000000" w:themeColor="text1"/>
          <w:szCs w:val="24"/>
        </w:rPr>
        <w:t>tuvo el máximo puntaje</w:t>
      </w:r>
      <w:r w:rsidR="00576467" w:rsidRPr="00724106">
        <w:rPr>
          <w:rFonts w:ascii="Arial" w:hAnsi="Arial" w:cs="Arial"/>
          <w:b w:val="0"/>
          <w:color w:val="000000" w:themeColor="text1"/>
          <w:szCs w:val="24"/>
        </w:rPr>
        <w:t xml:space="preserve"> en dicho punto</w:t>
      </w:r>
      <w:r w:rsidR="001B280E">
        <w:rPr>
          <w:rFonts w:ascii="Arial" w:hAnsi="Arial" w:cs="Arial"/>
          <w:b w:val="0"/>
          <w:color w:val="000000" w:themeColor="text1"/>
          <w:szCs w:val="24"/>
        </w:rPr>
        <w:t>;</w:t>
      </w:r>
    </w:p>
    <w:p w:rsidR="00CA15AA" w:rsidRDefault="00A31EFF" w:rsidP="00CA15AA">
      <w:pPr>
        <w:spacing w:line="360" w:lineRule="auto"/>
        <w:jc w:val="both"/>
        <w:rPr>
          <w:rFonts w:ascii="Arial" w:hAnsi="Arial" w:cs="Arial"/>
          <w:b w:val="0"/>
          <w:color w:val="000000" w:themeColor="text1"/>
          <w:szCs w:val="24"/>
        </w:rPr>
      </w:pPr>
      <w:r w:rsidRPr="00724106">
        <w:rPr>
          <w:rFonts w:ascii="Arial" w:hAnsi="Arial" w:cs="Arial"/>
          <w:color w:val="000000" w:themeColor="text1"/>
          <w:szCs w:val="24"/>
        </w:rPr>
        <w:t>11.3)</w:t>
      </w:r>
      <w:r w:rsidRPr="00724106">
        <w:rPr>
          <w:rFonts w:ascii="Arial" w:hAnsi="Arial" w:cs="Arial"/>
          <w:b w:val="0"/>
          <w:color w:val="000000" w:themeColor="text1"/>
          <w:szCs w:val="24"/>
        </w:rPr>
        <w:t xml:space="preserve"> </w:t>
      </w:r>
      <w:r w:rsidR="00576467" w:rsidRPr="00724106">
        <w:rPr>
          <w:rFonts w:ascii="Arial" w:hAnsi="Arial" w:cs="Arial"/>
          <w:b w:val="0"/>
          <w:color w:val="000000" w:themeColor="text1"/>
          <w:szCs w:val="24"/>
        </w:rPr>
        <w:t xml:space="preserve">Plazo de entrega: respecto al plazo de entrega dicha </w:t>
      </w:r>
      <w:r w:rsidR="00B34D8B">
        <w:rPr>
          <w:rFonts w:ascii="Arial" w:hAnsi="Arial" w:cs="Arial"/>
          <w:b w:val="0"/>
          <w:color w:val="000000" w:themeColor="text1"/>
          <w:szCs w:val="24"/>
        </w:rPr>
        <w:t>F</w:t>
      </w:r>
      <w:r w:rsidR="00576467" w:rsidRPr="00724106">
        <w:rPr>
          <w:rFonts w:ascii="Arial" w:hAnsi="Arial" w:cs="Arial"/>
          <w:b w:val="0"/>
          <w:color w:val="000000" w:themeColor="text1"/>
          <w:szCs w:val="24"/>
        </w:rPr>
        <w:t>irma no especificó claramente la entrega para cada uno de los ítems, según lo establecido en el Punto 6 del Pliego.</w:t>
      </w:r>
    </w:p>
    <w:p w:rsidR="00576467" w:rsidRPr="00724106" w:rsidRDefault="00A31EFF" w:rsidP="00CA15AA">
      <w:pPr>
        <w:spacing w:line="360" w:lineRule="auto"/>
        <w:jc w:val="both"/>
        <w:rPr>
          <w:rFonts w:ascii="Arial" w:hAnsi="Arial" w:cs="Arial"/>
          <w:b w:val="0"/>
          <w:color w:val="000000" w:themeColor="text1"/>
          <w:szCs w:val="24"/>
        </w:rPr>
      </w:pPr>
      <w:r w:rsidRPr="00724106">
        <w:rPr>
          <w:rFonts w:ascii="Arial" w:hAnsi="Arial" w:cs="Arial"/>
          <w:color w:val="000000" w:themeColor="text1"/>
          <w:szCs w:val="24"/>
        </w:rPr>
        <w:t xml:space="preserve">11.4) </w:t>
      </w:r>
      <w:r w:rsidR="00576467" w:rsidRPr="00724106">
        <w:rPr>
          <w:rFonts w:ascii="Arial" w:hAnsi="Arial" w:cs="Arial"/>
          <w:b w:val="0"/>
          <w:color w:val="000000" w:themeColor="text1"/>
          <w:szCs w:val="24"/>
        </w:rPr>
        <w:t xml:space="preserve">Evaluación técnica: la Administración nunca negó que </w:t>
      </w:r>
      <w:proofErr w:type="spellStart"/>
      <w:r w:rsidR="00576467" w:rsidRPr="00724106">
        <w:rPr>
          <w:rFonts w:ascii="Arial" w:hAnsi="Arial" w:cs="Arial"/>
          <w:b w:val="0"/>
          <w:color w:val="000000" w:themeColor="text1"/>
          <w:szCs w:val="24"/>
        </w:rPr>
        <w:t>D</w:t>
      </w:r>
      <w:r w:rsidR="00B34D8B" w:rsidRPr="00724106">
        <w:rPr>
          <w:rFonts w:ascii="Arial" w:hAnsi="Arial" w:cs="Arial"/>
          <w:b w:val="0"/>
          <w:color w:val="000000" w:themeColor="text1"/>
          <w:szCs w:val="24"/>
        </w:rPr>
        <w:t>atamars</w:t>
      </w:r>
      <w:proofErr w:type="spellEnd"/>
      <w:r w:rsidR="00576467" w:rsidRPr="00724106">
        <w:rPr>
          <w:rFonts w:ascii="Arial" w:hAnsi="Arial" w:cs="Arial"/>
          <w:b w:val="0"/>
          <w:color w:val="000000" w:themeColor="text1"/>
          <w:szCs w:val="24"/>
        </w:rPr>
        <w:t xml:space="preserve"> T</w:t>
      </w:r>
      <w:r w:rsidR="00B34D8B" w:rsidRPr="00724106">
        <w:rPr>
          <w:rFonts w:ascii="Arial" w:hAnsi="Arial" w:cs="Arial"/>
          <w:b w:val="0"/>
          <w:color w:val="000000" w:themeColor="text1"/>
          <w:szCs w:val="24"/>
        </w:rPr>
        <w:t>razabilidad</w:t>
      </w:r>
      <w:r w:rsidR="00B34D8B">
        <w:rPr>
          <w:rFonts w:ascii="Arial" w:hAnsi="Arial" w:cs="Arial"/>
          <w:b w:val="0"/>
          <w:color w:val="000000" w:themeColor="text1"/>
          <w:szCs w:val="24"/>
        </w:rPr>
        <w:t xml:space="preserve"> S.A. cumple</w:t>
      </w:r>
      <w:r w:rsidR="00576467" w:rsidRPr="00724106">
        <w:rPr>
          <w:rFonts w:ascii="Arial" w:hAnsi="Arial" w:cs="Arial"/>
          <w:b w:val="0"/>
          <w:color w:val="000000" w:themeColor="text1"/>
          <w:szCs w:val="24"/>
        </w:rPr>
        <w:t xml:space="preserve"> con los requisitos del Pliego</w:t>
      </w:r>
      <w:r w:rsidR="00B34D8B">
        <w:rPr>
          <w:rFonts w:ascii="Arial" w:hAnsi="Arial" w:cs="Arial"/>
          <w:b w:val="0"/>
          <w:color w:val="000000" w:themeColor="text1"/>
          <w:szCs w:val="24"/>
        </w:rPr>
        <w:t>;</w:t>
      </w:r>
    </w:p>
    <w:p w:rsidR="00576467" w:rsidRPr="00724106" w:rsidRDefault="00A31EFF" w:rsidP="00B905F8">
      <w:pPr>
        <w:pStyle w:val="Ttulo8"/>
        <w:keepLines w:val="0"/>
        <w:spacing w:before="0" w:line="360" w:lineRule="auto"/>
        <w:jc w:val="both"/>
        <w:rPr>
          <w:rFonts w:ascii="Arial" w:hAnsi="Arial" w:cs="Arial"/>
          <w:b w:val="0"/>
          <w:color w:val="000000" w:themeColor="text1"/>
          <w:sz w:val="24"/>
          <w:szCs w:val="24"/>
        </w:rPr>
      </w:pPr>
      <w:r w:rsidRPr="00724106">
        <w:rPr>
          <w:rFonts w:ascii="Arial" w:hAnsi="Arial" w:cs="Arial"/>
          <w:color w:val="000000" w:themeColor="text1"/>
          <w:sz w:val="24"/>
          <w:szCs w:val="24"/>
        </w:rPr>
        <w:t>11.5)</w:t>
      </w:r>
      <w:r w:rsidRPr="00724106">
        <w:rPr>
          <w:rFonts w:ascii="Arial" w:hAnsi="Arial" w:cs="Arial"/>
          <w:b w:val="0"/>
          <w:color w:val="000000" w:themeColor="text1"/>
          <w:sz w:val="24"/>
          <w:szCs w:val="24"/>
        </w:rPr>
        <w:t xml:space="preserve"> </w:t>
      </w:r>
      <w:r w:rsidR="00576467" w:rsidRPr="00724106">
        <w:rPr>
          <w:rFonts w:ascii="Arial" w:hAnsi="Arial" w:cs="Arial"/>
          <w:b w:val="0"/>
          <w:color w:val="000000" w:themeColor="text1"/>
          <w:sz w:val="24"/>
          <w:szCs w:val="24"/>
        </w:rPr>
        <w:t xml:space="preserve">Evaluación de antecedentes: la Comisión entiende  que lo que exige el Artículo 48 Literal C) del T.O.C.A.F. es la especificación de los principales factores a considerar en la evaluación de la oferta. Dicha Comisión ratifica la </w:t>
      </w:r>
      <w:r w:rsidR="00576467" w:rsidRPr="00724106">
        <w:rPr>
          <w:rFonts w:ascii="Arial" w:hAnsi="Arial" w:cs="Arial"/>
          <w:b w:val="0"/>
          <w:color w:val="000000" w:themeColor="text1"/>
          <w:sz w:val="24"/>
          <w:szCs w:val="24"/>
        </w:rPr>
        <w:lastRenderedPageBreak/>
        <w:t>recomendación de adjudicaci</w:t>
      </w:r>
      <w:r w:rsidR="006E4FE5" w:rsidRPr="00724106">
        <w:rPr>
          <w:rFonts w:ascii="Arial" w:hAnsi="Arial" w:cs="Arial"/>
          <w:b w:val="0"/>
          <w:color w:val="000000" w:themeColor="text1"/>
          <w:sz w:val="24"/>
          <w:szCs w:val="24"/>
        </w:rPr>
        <w:t xml:space="preserve">ón oportunamente efectuada, notificando </w:t>
      </w:r>
      <w:r w:rsidR="00576467" w:rsidRPr="00724106">
        <w:rPr>
          <w:rFonts w:ascii="Arial" w:hAnsi="Arial" w:cs="Arial"/>
          <w:b w:val="0"/>
          <w:bCs/>
          <w:color w:val="000000" w:themeColor="text1"/>
          <w:sz w:val="24"/>
          <w:szCs w:val="24"/>
        </w:rPr>
        <w:t xml:space="preserve"> a la </w:t>
      </w:r>
      <w:r w:rsidR="009C7797">
        <w:rPr>
          <w:rFonts w:ascii="Arial" w:hAnsi="Arial" w:cs="Arial"/>
          <w:b w:val="0"/>
          <w:bCs/>
          <w:color w:val="000000" w:themeColor="text1"/>
          <w:sz w:val="24"/>
          <w:szCs w:val="24"/>
        </w:rPr>
        <w:t>F</w:t>
      </w:r>
      <w:r w:rsidR="00576467" w:rsidRPr="00724106">
        <w:rPr>
          <w:rFonts w:ascii="Arial" w:hAnsi="Arial" w:cs="Arial"/>
          <w:b w:val="0"/>
          <w:bCs/>
          <w:color w:val="000000" w:themeColor="text1"/>
          <w:sz w:val="24"/>
          <w:szCs w:val="24"/>
        </w:rPr>
        <w:t xml:space="preserve">irma </w:t>
      </w:r>
      <w:proofErr w:type="spellStart"/>
      <w:r w:rsidR="00576467" w:rsidRPr="00724106">
        <w:rPr>
          <w:rFonts w:ascii="Arial" w:hAnsi="Arial" w:cs="Arial"/>
          <w:b w:val="0"/>
          <w:bCs/>
          <w:color w:val="000000" w:themeColor="text1"/>
          <w:sz w:val="24"/>
          <w:szCs w:val="24"/>
        </w:rPr>
        <w:t>D</w:t>
      </w:r>
      <w:r w:rsidR="009C7797" w:rsidRPr="00724106">
        <w:rPr>
          <w:rFonts w:ascii="Arial" w:hAnsi="Arial" w:cs="Arial"/>
          <w:b w:val="0"/>
          <w:bCs/>
          <w:color w:val="000000" w:themeColor="text1"/>
          <w:sz w:val="24"/>
          <w:szCs w:val="24"/>
        </w:rPr>
        <w:t>atamars</w:t>
      </w:r>
      <w:proofErr w:type="spellEnd"/>
      <w:r w:rsidR="00576467" w:rsidRPr="00724106">
        <w:rPr>
          <w:rFonts w:ascii="Arial" w:hAnsi="Arial" w:cs="Arial"/>
          <w:b w:val="0"/>
          <w:bCs/>
          <w:color w:val="000000" w:themeColor="text1"/>
          <w:sz w:val="24"/>
          <w:szCs w:val="24"/>
        </w:rPr>
        <w:t xml:space="preserve"> T</w:t>
      </w:r>
      <w:r w:rsidR="009C7797" w:rsidRPr="00724106">
        <w:rPr>
          <w:rFonts w:ascii="Arial" w:hAnsi="Arial" w:cs="Arial"/>
          <w:b w:val="0"/>
          <w:bCs/>
          <w:color w:val="000000" w:themeColor="text1"/>
          <w:sz w:val="24"/>
          <w:szCs w:val="24"/>
        </w:rPr>
        <w:t>razabilidad</w:t>
      </w:r>
      <w:r w:rsidR="00576467" w:rsidRPr="00724106">
        <w:rPr>
          <w:rFonts w:ascii="Arial" w:hAnsi="Arial" w:cs="Arial"/>
          <w:b w:val="0"/>
          <w:bCs/>
          <w:color w:val="000000" w:themeColor="text1"/>
          <w:sz w:val="24"/>
          <w:szCs w:val="24"/>
        </w:rPr>
        <w:t xml:space="preserve"> S.A.</w:t>
      </w:r>
      <w:r w:rsidR="006E4FE5" w:rsidRPr="00724106">
        <w:rPr>
          <w:rFonts w:ascii="Arial" w:hAnsi="Arial" w:cs="Arial"/>
          <w:b w:val="0"/>
          <w:bCs/>
          <w:color w:val="000000" w:themeColor="text1"/>
          <w:sz w:val="24"/>
          <w:szCs w:val="24"/>
        </w:rPr>
        <w:t xml:space="preserve">; </w:t>
      </w:r>
    </w:p>
    <w:p w:rsidR="00576467" w:rsidRPr="00724106" w:rsidRDefault="00805B17" w:rsidP="00B905F8">
      <w:pPr>
        <w:pStyle w:val="Ttulo8"/>
        <w:keepLines w:val="0"/>
        <w:spacing w:before="0" w:line="360" w:lineRule="auto"/>
        <w:ind w:firstLine="2694"/>
        <w:jc w:val="both"/>
        <w:rPr>
          <w:rFonts w:ascii="Arial" w:hAnsi="Arial" w:cs="Arial"/>
          <w:b w:val="0"/>
          <w:bCs/>
          <w:color w:val="000000" w:themeColor="text1"/>
          <w:lang w:val="es-ES_tradnl"/>
        </w:rPr>
      </w:pPr>
      <w:r w:rsidRPr="00724106">
        <w:rPr>
          <w:rFonts w:ascii="Arial" w:hAnsi="Arial" w:cs="Arial"/>
          <w:bCs/>
          <w:color w:val="000000" w:themeColor="text1"/>
          <w:sz w:val="24"/>
          <w:szCs w:val="24"/>
        </w:rPr>
        <w:t>12</w:t>
      </w:r>
      <w:r w:rsidRPr="00724106">
        <w:rPr>
          <w:rFonts w:ascii="Arial" w:hAnsi="Arial" w:cs="Arial"/>
          <w:color w:val="000000" w:themeColor="text1"/>
          <w:sz w:val="24"/>
          <w:szCs w:val="24"/>
        </w:rPr>
        <w:t xml:space="preserve">) </w:t>
      </w:r>
      <w:r w:rsidRPr="00724106">
        <w:rPr>
          <w:rFonts w:ascii="Arial" w:hAnsi="Arial" w:cs="Arial"/>
          <w:b w:val="0"/>
          <w:color w:val="000000" w:themeColor="text1"/>
          <w:sz w:val="24"/>
          <w:szCs w:val="24"/>
        </w:rPr>
        <w:t>que luce</w:t>
      </w:r>
      <w:r w:rsidRPr="00724106">
        <w:rPr>
          <w:rFonts w:ascii="Arial" w:hAnsi="Arial" w:cs="Arial"/>
          <w:color w:val="000000" w:themeColor="text1"/>
          <w:sz w:val="24"/>
          <w:szCs w:val="24"/>
        </w:rPr>
        <w:t xml:space="preserve"> </w:t>
      </w:r>
      <w:r w:rsidR="00576467" w:rsidRPr="00724106">
        <w:rPr>
          <w:rFonts w:ascii="Arial" w:hAnsi="Arial" w:cs="Arial"/>
          <w:b w:val="0"/>
          <w:bCs/>
          <w:color w:val="000000" w:themeColor="text1"/>
          <w:sz w:val="24"/>
          <w:szCs w:val="24"/>
          <w:lang w:val="es-ES_tradnl"/>
        </w:rPr>
        <w:t>Proyecto de Resolución del Poder Ejecutivo</w:t>
      </w:r>
      <w:r w:rsidRPr="00724106">
        <w:rPr>
          <w:rFonts w:ascii="Arial" w:hAnsi="Arial" w:cs="Arial"/>
          <w:b w:val="0"/>
          <w:bCs/>
          <w:color w:val="000000" w:themeColor="text1"/>
          <w:sz w:val="24"/>
          <w:szCs w:val="24"/>
          <w:lang w:val="es-ES_tradnl"/>
        </w:rPr>
        <w:t xml:space="preserve"> adjudicando a la </w:t>
      </w:r>
      <w:r w:rsidR="009C7797">
        <w:rPr>
          <w:rFonts w:ascii="Arial" w:hAnsi="Arial" w:cs="Arial"/>
          <w:b w:val="0"/>
          <w:bCs/>
          <w:color w:val="000000" w:themeColor="text1"/>
          <w:sz w:val="24"/>
          <w:szCs w:val="24"/>
          <w:lang w:val="es-ES_tradnl"/>
        </w:rPr>
        <w:t>F</w:t>
      </w:r>
      <w:r w:rsidRPr="00724106">
        <w:rPr>
          <w:rFonts w:ascii="Arial" w:hAnsi="Arial" w:cs="Arial"/>
          <w:b w:val="0"/>
          <w:bCs/>
          <w:color w:val="000000" w:themeColor="text1"/>
          <w:sz w:val="24"/>
          <w:szCs w:val="24"/>
          <w:lang w:val="es-ES_tradnl"/>
        </w:rPr>
        <w:t xml:space="preserve">irma </w:t>
      </w:r>
      <w:proofErr w:type="spellStart"/>
      <w:r w:rsidR="00576467" w:rsidRPr="00724106">
        <w:rPr>
          <w:rFonts w:ascii="Arial" w:hAnsi="Arial" w:cs="Arial"/>
          <w:b w:val="0"/>
          <w:bCs/>
          <w:color w:val="000000" w:themeColor="text1"/>
          <w:sz w:val="24"/>
          <w:szCs w:val="24"/>
          <w:lang w:val="es-ES_tradnl"/>
        </w:rPr>
        <w:t>L</w:t>
      </w:r>
      <w:r w:rsidR="009C7797" w:rsidRPr="00724106">
        <w:rPr>
          <w:rFonts w:ascii="Arial" w:hAnsi="Arial" w:cs="Arial"/>
          <w:b w:val="0"/>
          <w:bCs/>
          <w:color w:val="000000" w:themeColor="text1"/>
          <w:sz w:val="24"/>
          <w:szCs w:val="24"/>
          <w:lang w:val="es-ES_tradnl"/>
        </w:rPr>
        <w:t>emifar</w:t>
      </w:r>
      <w:proofErr w:type="spellEnd"/>
      <w:r w:rsidR="00576467" w:rsidRPr="00724106">
        <w:rPr>
          <w:rFonts w:ascii="Arial" w:hAnsi="Arial" w:cs="Arial"/>
          <w:b w:val="0"/>
          <w:bCs/>
          <w:color w:val="000000" w:themeColor="text1"/>
          <w:sz w:val="24"/>
          <w:szCs w:val="24"/>
          <w:lang w:val="es-ES_tradnl"/>
        </w:rPr>
        <w:t xml:space="preserve"> S.A. por un total de U$S 5:119.100, conforme </w:t>
      </w:r>
      <w:r w:rsidR="009C7797">
        <w:rPr>
          <w:rFonts w:ascii="Arial" w:hAnsi="Arial" w:cs="Arial"/>
          <w:b w:val="0"/>
          <w:bCs/>
          <w:color w:val="000000" w:themeColor="text1"/>
          <w:sz w:val="24"/>
          <w:szCs w:val="24"/>
          <w:lang w:val="es-ES_tradnl"/>
        </w:rPr>
        <w:t>con</w:t>
      </w:r>
      <w:r w:rsidR="00576467" w:rsidRPr="00724106">
        <w:rPr>
          <w:rFonts w:ascii="Arial" w:hAnsi="Arial" w:cs="Arial"/>
          <w:b w:val="0"/>
          <w:bCs/>
          <w:color w:val="000000" w:themeColor="text1"/>
          <w:sz w:val="24"/>
          <w:szCs w:val="24"/>
          <w:lang w:val="es-ES_tradnl"/>
        </w:rPr>
        <w:t xml:space="preserve"> lo aconsejado por la Com</w:t>
      </w:r>
      <w:r w:rsidRPr="00724106">
        <w:rPr>
          <w:rFonts w:ascii="Arial" w:hAnsi="Arial" w:cs="Arial"/>
          <w:b w:val="0"/>
          <w:bCs/>
          <w:color w:val="000000" w:themeColor="text1"/>
          <w:sz w:val="24"/>
          <w:szCs w:val="24"/>
          <w:lang w:val="es-ES_tradnl"/>
        </w:rPr>
        <w:t xml:space="preserve">isión Asesora de Adjudicaciones; </w:t>
      </w:r>
    </w:p>
    <w:p w:rsidR="0064081A" w:rsidRPr="00724106" w:rsidRDefault="0064081A" w:rsidP="00B905F8">
      <w:pPr>
        <w:pStyle w:val="Ttulo"/>
        <w:ind w:firstLine="851"/>
        <w:jc w:val="both"/>
        <w:rPr>
          <w:b w:val="0"/>
          <w:bCs/>
          <w:color w:val="000000" w:themeColor="text1"/>
          <w:u w:val="none"/>
          <w:lang w:val="es-ES_tradnl"/>
        </w:rPr>
      </w:pPr>
      <w:r w:rsidRPr="00724106">
        <w:rPr>
          <w:rFonts w:cs="Arial"/>
          <w:bCs/>
          <w:color w:val="000000" w:themeColor="text1"/>
          <w:u w:val="none"/>
          <w:lang w:val="es-ES_tradnl"/>
        </w:rPr>
        <w:t xml:space="preserve">CONSIDERANDO: 1) </w:t>
      </w:r>
      <w:r w:rsidRPr="00724106">
        <w:rPr>
          <w:rFonts w:cs="Arial"/>
          <w:b w:val="0"/>
          <w:bCs/>
          <w:color w:val="000000" w:themeColor="text1"/>
          <w:u w:val="none"/>
          <w:lang w:val="es-ES_tradnl"/>
        </w:rPr>
        <w:t>que</w:t>
      </w:r>
      <w:r w:rsidRPr="00724106">
        <w:rPr>
          <w:b w:val="0"/>
          <w:bCs/>
          <w:color w:val="000000" w:themeColor="text1"/>
          <w:u w:val="none"/>
          <w:lang w:val="es-ES_tradnl"/>
        </w:rPr>
        <w:t xml:space="preserve"> respecto de las consideraciones vertidas por la </w:t>
      </w:r>
      <w:r w:rsidR="009C7797">
        <w:rPr>
          <w:b w:val="0"/>
          <w:bCs/>
          <w:color w:val="000000" w:themeColor="text1"/>
          <w:u w:val="none"/>
          <w:lang w:val="es-ES_tradnl"/>
        </w:rPr>
        <w:t>F</w:t>
      </w:r>
      <w:r w:rsidRPr="00724106">
        <w:rPr>
          <w:b w:val="0"/>
          <w:bCs/>
          <w:color w:val="000000" w:themeColor="text1"/>
          <w:u w:val="none"/>
          <w:lang w:val="es-ES_tradnl"/>
        </w:rPr>
        <w:t xml:space="preserve">irma </w:t>
      </w:r>
      <w:proofErr w:type="spellStart"/>
      <w:r w:rsidRPr="00724106">
        <w:rPr>
          <w:b w:val="0"/>
          <w:bCs/>
          <w:color w:val="000000" w:themeColor="text1"/>
          <w:u w:val="none"/>
          <w:lang w:val="es-ES_tradnl"/>
        </w:rPr>
        <w:t>D</w:t>
      </w:r>
      <w:r w:rsidR="009C7797" w:rsidRPr="00724106">
        <w:rPr>
          <w:b w:val="0"/>
          <w:bCs/>
          <w:color w:val="000000" w:themeColor="text1"/>
          <w:u w:val="none"/>
          <w:lang w:val="es-ES_tradnl"/>
        </w:rPr>
        <w:t>atamars</w:t>
      </w:r>
      <w:proofErr w:type="spellEnd"/>
      <w:r w:rsidRPr="00724106">
        <w:rPr>
          <w:b w:val="0"/>
          <w:bCs/>
          <w:color w:val="000000" w:themeColor="text1"/>
          <w:u w:val="none"/>
          <w:lang w:val="es-ES_tradnl"/>
        </w:rPr>
        <w:t xml:space="preserve"> T</w:t>
      </w:r>
      <w:r w:rsidR="009C7797" w:rsidRPr="00724106">
        <w:rPr>
          <w:b w:val="0"/>
          <w:bCs/>
          <w:color w:val="000000" w:themeColor="text1"/>
          <w:u w:val="none"/>
          <w:lang w:val="es-ES_tradnl"/>
        </w:rPr>
        <w:t>razabilidad</w:t>
      </w:r>
      <w:r w:rsidRPr="00724106">
        <w:rPr>
          <w:b w:val="0"/>
          <w:bCs/>
          <w:color w:val="000000" w:themeColor="text1"/>
          <w:u w:val="none"/>
          <w:lang w:val="es-ES_tradnl"/>
        </w:rPr>
        <w:t xml:space="preserve"> S.A., corresponde mencionar que los criterios  de evaluación de las ofertas establecidos en el Artículo 7 del Pliego de Condiciones Particulares que rigió el </w:t>
      </w:r>
      <w:r w:rsidR="009C7797">
        <w:rPr>
          <w:b w:val="0"/>
          <w:bCs/>
          <w:color w:val="000000" w:themeColor="text1"/>
          <w:u w:val="none"/>
          <w:lang w:val="es-ES_tradnl"/>
        </w:rPr>
        <w:t>L</w:t>
      </w:r>
      <w:r w:rsidRPr="00724106">
        <w:rPr>
          <w:b w:val="0"/>
          <w:bCs/>
          <w:color w:val="000000" w:themeColor="text1"/>
          <w:u w:val="none"/>
          <w:lang w:val="es-ES_tradnl"/>
        </w:rPr>
        <w:t xml:space="preserve">lamado se adecuan a lo preceptuado por el Artículo 48 del T.O.C.A.F. Literal C), por cuanto se establecen los principales factores que se tendrán en cuenta para evaluar las ofertas, así como la ponderación de cada uno a efectos de determinar la calificación asignada a cada oferta; </w:t>
      </w:r>
    </w:p>
    <w:p w:rsidR="0064081A" w:rsidRPr="00724106" w:rsidRDefault="0064081A" w:rsidP="00BE77D0">
      <w:pPr>
        <w:pStyle w:val="Ttulo"/>
        <w:ind w:firstLine="2977"/>
        <w:jc w:val="both"/>
        <w:rPr>
          <w:b w:val="0"/>
          <w:bCs/>
          <w:color w:val="000000" w:themeColor="text1"/>
          <w:u w:val="none"/>
          <w:lang w:val="es-ES_tradnl"/>
        </w:rPr>
      </w:pPr>
      <w:r w:rsidRPr="00724106">
        <w:rPr>
          <w:bCs/>
          <w:color w:val="000000" w:themeColor="text1"/>
          <w:u w:val="none"/>
          <w:lang w:val="es-ES_tradnl"/>
        </w:rPr>
        <w:t>2)</w:t>
      </w:r>
      <w:r w:rsidRPr="00724106">
        <w:rPr>
          <w:b w:val="0"/>
          <w:bCs/>
          <w:color w:val="000000" w:themeColor="text1"/>
          <w:u w:val="none"/>
          <w:lang w:val="es-ES_tradnl"/>
        </w:rPr>
        <w:t xml:space="preserve"> que con referencia a las consideraciones técnicas efectuadas, las mismas fueron evaluadas por una Comisión Técnica y por el L.A.T.U., no correspondiendo a este </w:t>
      </w:r>
      <w:r w:rsidR="00583046" w:rsidRPr="00724106">
        <w:rPr>
          <w:b w:val="0"/>
          <w:bCs/>
          <w:color w:val="000000" w:themeColor="text1"/>
          <w:u w:val="none"/>
          <w:lang w:val="es-ES_tradnl"/>
        </w:rPr>
        <w:t xml:space="preserve">Tribunal ingresar en las mismas; </w:t>
      </w:r>
    </w:p>
    <w:p w:rsidR="0077429E" w:rsidRDefault="0077429E" w:rsidP="00BE77D0">
      <w:pPr>
        <w:pStyle w:val="Sangradetextonormal"/>
        <w:spacing w:after="0" w:line="360" w:lineRule="auto"/>
        <w:ind w:left="0" w:firstLine="851"/>
        <w:jc w:val="both"/>
        <w:rPr>
          <w:rFonts w:ascii="Arial" w:hAnsi="Arial" w:cs="Arial"/>
          <w:b w:val="0"/>
          <w:color w:val="000000" w:themeColor="text1"/>
          <w:lang w:val="es-UY"/>
        </w:rPr>
      </w:pPr>
      <w:r w:rsidRPr="00724106">
        <w:rPr>
          <w:rFonts w:ascii="Arial" w:hAnsi="Arial" w:cs="Arial"/>
          <w:bCs/>
          <w:color w:val="000000" w:themeColor="text1"/>
          <w:spacing w:val="-3"/>
          <w:lang w:val="es-ES_tradnl"/>
        </w:rPr>
        <w:t>ATENTO</w:t>
      </w:r>
      <w:r w:rsidRPr="00724106">
        <w:rPr>
          <w:rFonts w:ascii="Arial" w:hAnsi="Arial" w:cs="Arial"/>
          <w:color w:val="000000" w:themeColor="text1"/>
          <w:spacing w:val="-3"/>
          <w:lang w:val="es-ES_tradnl"/>
        </w:rPr>
        <w:t xml:space="preserve">: </w:t>
      </w:r>
      <w:r w:rsidRPr="00724106">
        <w:rPr>
          <w:rFonts w:ascii="Arial" w:hAnsi="Arial" w:cs="Arial"/>
          <w:b w:val="0"/>
          <w:color w:val="000000" w:themeColor="text1"/>
          <w:spacing w:val="-3"/>
          <w:lang w:val="es-ES_tradnl"/>
        </w:rPr>
        <w:t xml:space="preserve">a lo precedentemente expuesto </w:t>
      </w:r>
      <w:r w:rsidRPr="00724106">
        <w:rPr>
          <w:rFonts w:ascii="Arial" w:hAnsi="Arial" w:cs="Arial"/>
          <w:b w:val="0"/>
          <w:color w:val="000000" w:themeColor="text1"/>
          <w:lang w:val="es-UY"/>
        </w:rPr>
        <w:t>y a lo establecido en el Artículo 211 literal B) de la Constitución de la República;</w:t>
      </w:r>
    </w:p>
    <w:p w:rsidR="0077429E" w:rsidRPr="00724106" w:rsidRDefault="0077429E" w:rsidP="0077429E">
      <w:pPr>
        <w:pStyle w:val="Ttulo"/>
        <w:ind w:firstLine="708"/>
        <w:rPr>
          <w:color w:val="000000" w:themeColor="text1"/>
          <w:u w:val="none"/>
          <w:lang w:val="es-ES_tradnl"/>
        </w:rPr>
      </w:pPr>
      <w:r w:rsidRPr="00724106">
        <w:rPr>
          <w:color w:val="000000" w:themeColor="text1"/>
          <w:u w:val="none"/>
          <w:lang w:val="es-ES_tradnl"/>
        </w:rPr>
        <w:t>EL TRIBUNAL ACUERDA</w:t>
      </w:r>
    </w:p>
    <w:p w:rsidR="00CA15AA" w:rsidRPr="009C7797" w:rsidRDefault="00933FDF" w:rsidP="00CA15AA">
      <w:pPr>
        <w:pStyle w:val="Ttulo"/>
        <w:numPr>
          <w:ilvl w:val="0"/>
          <w:numId w:val="11"/>
        </w:numPr>
        <w:jc w:val="both"/>
        <w:rPr>
          <w:b w:val="0"/>
          <w:color w:val="000000" w:themeColor="text1"/>
          <w:u w:val="none"/>
          <w:lang w:val="es-ES_tradnl"/>
        </w:rPr>
      </w:pPr>
      <w:r w:rsidRPr="009C7797">
        <w:rPr>
          <w:b w:val="0"/>
          <w:color w:val="000000" w:themeColor="text1"/>
          <w:u w:val="none"/>
          <w:lang w:val="es-ES_tradnl"/>
        </w:rPr>
        <w:t xml:space="preserve">Dictada Resolución definitiva por el </w:t>
      </w:r>
      <w:r w:rsidR="009C7797" w:rsidRPr="009C7797">
        <w:rPr>
          <w:b w:val="0"/>
          <w:color w:val="000000" w:themeColor="text1"/>
          <w:u w:val="none"/>
          <w:lang w:val="es-ES_tradnl"/>
        </w:rPr>
        <w:t>O</w:t>
      </w:r>
      <w:r w:rsidRPr="009C7797">
        <w:rPr>
          <w:b w:val="0"/>
          <w:color w:val="000000" w:themeColor="text1"/>
          <w:u w:val="none"/>
          <w:lang w:val="es-ES_tradnl"/>
        </w:rPr>
        <w:t xml:space="preserve">rdenador competente, se comete a la </w:t>
      </w:r>
      <w:proofErr w:type="spellStart"/>
      <w:r w:rsidRPr="009C7797">
        <w:rPr>
          <w:b w:val="0"/>
          <w:color w:val="000000" w:themeColor="text1"/>
          <w:u w:val="none"/>
          <w:lang w:val="es-ES_tradnl"/>
        </w:rPr>
        <w:t>Cra</w:t>
      </w:r>
      <w:proofErr w:type="spellEnd"/>
      <w:r w:rsidRPr="009C7797">
        <w:rPr>
          <w:b w:val="0"/>
          <w:color w:val="000000" w:themeColor="text1"/>
          <w:u w:val="none"/>
          <w:lang w:val="es-ES_tradnl"/>
        </w:rPr>
        <w:t>. Auditora destacada ante el MGAP la intervención del gasto por la suma de U$S 5:119.100</w:t>
      </w:r>
      <w:proofErr w:type="gramStart"/>
      <w:r w:rsidRPr="009C7797">
        <w:rPr>
          <w:b w:val="0"/>
          <w:color w:val="000000" w:themeColor="text1"/>
          <w:u w:val="none"/>
          <w:lang w:val="es-ES_tradnl"/>
        </w:rPr>
        <w:t>,oo</w:t>
      </w:r>
      <w:proofErr w:type="gramEnd"/>
      <w:r w:rsidRPr="009C7797">
        <w:rPr>
          <w:b w:val="0"/>
          <w:color w:val="000000" w:themeColor="text1"/>
          <w:u w:val="none"/>
          <w:lang w:val="es-ES_tradnl"/>
        </w:rPr>
        <w:t xml:space="preserve">, previo control </w:t>
      </w:r>
      <w:r w:rsidR="009C7797" w:rsidRPr="009C7797">
        <w:rPr>
          <w:b w:val="0"/>
          <w:color w:val="000000" w:themeColor="text1"/>
          <w:u w:val="none"/>
          <w:lang w:val="es-ES_tradnl"/>
        </w:rPr>
        <w:t xml:space="preserve">de </w:t>
      </w:r>
      <w:r w:rsidRPr="009C7797">
        <w:rPr>
          <w:b w:val="0"/>
          <w:color w:val="000000" w:themeColor="text1"/>
          <w:u w:val="none"/>
          <w:lang w:val="es-ES_tradnl"/>
        </w:rPr>
        <w:t xml:space="preserve">su imputación a </w:t>
      </w:r>
      <w:r w:rsidR="009C7797" w:rsidRPr="009C7797">
        <w:rPr>
          <w:b w:val="0"/>
          <w:color w:val="000000" w:themeColor="text1"/>
          <w:u w:val="none"/>
          <w:lang w:val="es-ES_tradnl"/>
        </w:rPr>
        <w:t>G</w:t>
      </w:r>
      <w:r w:rsidRPr="009C7797">
        <w:rPr>
          <w:b w:val="0"/>
          <w:color w:val="000000" w:themeColor="text1"/>
          <w:u w:val="none"/>
          <w:lang w:val="es-ES_tradnl"/>
        </w:rPr>
        <w:t xml:space="preserve">rupo adecuado con disponibilidad suficiente y del cumplimiento de lo previsto en el </w:t>
      </w:r>
      <w:r w:rsidR="009C7797" w:rsidRPr="009C7797">
        <w:rPr>
          <w:b w:val="0"/>
          <w:color w:val="000000" w:themeColor="text1"/>
          <w:u w:val="none"/>
          <w:lang w:val="es-ES_tradnl"/>
        </w:rPr>
        <w:t>A</w:t>
      </w:r>
      <w:r w:rsidRPr="009C7797">
        <w:rPr>
          <w:b w:val="0"/>
          <w:color w:val="000000" w:themeColor="text1"/>
          <w:u w:val="none"/>
          <w:lang w:val="es-ES_tradnl"/>
        </w:rPr>
        <w:t>rtículo 3 de la ley 18.244 (Deudores Alimentarios)</w:t>
      </w:r>
      <w:r w:rsidR="009C7797" w:rsidRPr="009C7797">
        <w:rPr>
          <w:b w:val="0"/>
          <w:color w:val="000000" w:themeColor="text1"/>
          <w:u w:val="none"/>
          <w:lang w:val="es-ES_tradnl"/>
        </w:rPr>
        <w:t>;</w:t>
      </w:r>
    </w:p>
    <w:p w:rsidR="008B4B10" w:rsidRDefault="00933FDF" w:rsidP="0077429E">
      <w:pPr>
        <w:pStyle w:val="Ttulo"/>
        <w:numPr>
          <w:ilvl w:val="0"/>
          <w:numId w:val="11"/>
        </w:numPr>
        <w:jc w:val="both"/>
        <w:rPr>
          <w:b w:val="0"/>
          <w:color w:val="000000" w:themeColor="text1"/>
          <w:u w:val="none"/>
          <w:lang w:val="es-ES_tradnl"/>
        </w:rPr>
      </w:pPr>
      <w:r w:rsidRPr="003211A1">
        <w:rPr>
          <w:b w:val="0"/>
          <w:color w:val="000000" w:themeColor="text1"/>
          <w:u w:val="none"/>
          <w:lang w:val="es-ES_tradnl"/>
        </w:rPr>
        <w:t xml:space="preserve">Cométese asimismo a la </w:t>
      </w:r>
      <w:proofErr w:type="spellStart"/>
      <w:r w:rsidRPr="003211A1">
        <w:rPr>
          <w:b w:val="0"/>
          <w:color w:val="000000" w:themeColor="text1"/>
          <w:u w:val="none"/>
          <w:lang w:val="es-ES_tradnl"/>
        </w:rPr>
        <w:t>Cra</w:t>
      </w:r>
      <w:proofErr w:type="spellEnd"/>
      <w:r w:rsidRPr="003211A1">
        <w:rPr>
          <w:b w:val="0"/>
          <w:color w:val="000000" w:themeColor="text1"/>
          <w:u w:val="none"/>
          <w:lang w:val="es-ES_tradnl"/>
        </w:rPr>
        <w:t>. Auditora el control de que la Resolución definitiva concuerde con las condiciones sometidas a consideración de este Tribunal (</w:t>
      </w:r>
      <w:proofErr w:type="spellStart"/>
      <w:r w:rsidR="003211A1" w:rsidRPr="003211A1">
        <w:rPr>
          <w:b w:val="0"/>
          <w:color w:val="000000" w:themeColor="text1"/>
          <w:u w:val="none"/>
          <w:lang w:val="es-ES_tradnl"/>
        </w:rPr>
        <w:t>Aº</w:t>
      </w:r>
      <w:proofErr w:type="spellEnd"/>
      <w:r w:rsidR="003211A1" w:rsidRPr="003211A1">
        <w:rPr>
          <w:b w:val="0"/>
          <w:color w:val="000000" w:themeColor="text1"/>
          <w:u w:val="none"/>
          <w:lang w:val="es-ES_tradnl"/>
        </w:rPr>
        <w:t xml:space="preserve"> 8 de la Ordenanza Nº 27 de 22 </w:t>
      </w:r>
    </w:p>
    <w:p w:rsidR="008B4B10" w:rsidRDefault="008B4B10" w:rsidP="008B4B10">
      <w:pPr>
        <w:pStyle w:val="Ttulo"/>
        <w:ind w:left="708"/>
        <w:jc w:val="both"/>
        <w:rPr>
          <w:b w:val="0"/>
          <w:color w:val="000000" w:themeColor="text1"/>
          <w:u w:val="none"/>
          <w:lang w:val="es-ES_tradnl"/>
        </w:rPr>
      </w:pPr>
    </w:p>
    <w:p w:rsidR="003211A1" w:rsidRDefault="003211A1" w:rsidP="0077429E">
      <w:pPr>
        <w:pStyle w:val="Ttulo"/>
        <w:numPr>
          <w:ilvl w:val="0"/>
          <w:numId w:val="11"/>
        </w:numPr>
        <w:jc w:val="both"/>
        <w:rPr>
          <w:b w:val="0"/>
          <w:color w:val="000000" w:themeColor="text1"/>
          <w:u w:val="none"/>
          <w:lang w:val="es-ES_tradnl"/>
        </w:rPr>
      </w:pPr>
      <w:proofErr w:type="gramStart"/>
      <w:r w:rsidRPr="003211A1">
        <w:rPr>
          <w:b w:val="0"/>
          <w:color w:val="000000" w:themeColor="text1"/>
          <w:u w:val="none"/>
          <w:lang w:val="es-ES_tradnl"/>
        </w:rPr>
        <w:lastRenderedPageBreak/>
        <w:t>de</w:t>
      </w:r>
      <w:proofErr w:type="gramEnd"/>
      <w:r w:rsidRPr="003211A1">
        <w:rPr>
          <w:b w:val="0"/>
          <w:color w:val="000000" w:themeColor="text1"/>
          <w:u w:val="none"/>
          <w:lang w:val="es-ES_tradnl"/>
        </w:rPr>
        <w:t xml:space="preserve"> mayo de 1958, en la redacción dada por Resolución de 16 de junio de 2010)</w:t>
      </w:r>
      <w:r w:rsidR="008B4B10">
        <w:rPr>
          <w:b w:val="0"/>
          <w:color w:val="000000" w:themeColor="text1"/>
          <w:u w:val="none"/>
          <w:lang w:val="es-ES_tradnl"/>
        </w:rPr>
        <w:t>;</w:t>
      </w:r>
      <w:r w:rsidRPr="003211A1">
        <w:rPr>
          <w:b w:val="0"/>
          <w:color w:val="000000" w:themeColor="text1"/>
          <w:u w:val="none"/>
          <w:lang w:val="es-ES_tradnl"/>
        </w:rPr>
        <w:t xml:space="preserve"> </w:t>
      </w:r>
    </w:p>
    <w:p w:rsidR="003211A1" w:rsidRDefault="00443FE6" w:rsidP="0077429E">
      <w:pPr>
        <w:pStyle w:val="Ttulo"/>
        <w:numPr>
          <w:ilvl w:val="0"/>
          <w:numId w:val="11"/>
        </w:numPr>
        <w:jc w:val="both"/>
        <w:rPr>
          <w:b w:val="0"/>
          <w:color w:val="000000" w:themeColor="text1"/>
          <w:u w:val="none"/>
          <w:lang w:val="es-ES_tradnl"/>
        </w:rPr>
      </w:pPr>
      <w:r>
        <w:rPr>
          <w:b w:val="0"/>
          <w:color w:val="000000" w:themeColor="text1"/>
          <w:u w:val="none"/>
          <w:lang w:val="es-ES_tradnl"/>
        </w:rPr>
        <w:t>Comuníquese al</w:t>
      </w:r>
      <w:r w:rsidR="003211A1">
        <w:rPr>
          <w:b w:val="0"/>
          <w:color w:val="000000" w:themeColor="text1"/>
          <w:u w:val="none"/>
          <w:lang w:val="es-ES_tradnl"/>
        </w:rPr>
        <w:t xml:space="preserve"> C</w:t>
      </w:r>
      <w:r>
        <w:rPr>
          <w:b w:val="0"/>
          <w:color w:val="000000" w:themeColor="text1"/>
          <w:u w:val="none"/>
          <w:lang w:val="es-ES_tradnl"/>
        </w:rPr>
        <w:t>ontador Auditor</w:t>
      </w:r>
      <w:bookmarkStart w:id="0" w:name="_GoBack"/>
      <w:bookmarkEnd w:id="0"/>
      <w:r w:rsidR="008B4B10">
        <w:rPr>
          <w:b w:val="0"/>
          <w:color w:val="000000" w:themeColor="text1"/>
          <w:u w:val="none"/>
          <w:lang w:val="es-ES_tradnl"/>
        </w:rPr>
        <w:t>;</w:t>
      </w:r>
    </w:p>
    <w:p w:rsidR="0077429E" w:rsidRDefault="0077429E" w:rsidP="0077429E">
      <w:pPr>
        <w:pStyle w:val="Ttulo"/>
        <w:numPr>
          <w:ilvl w:val="0"/>
          <w:numId w:val="11"/>
        </w:numPr>
        <w:jc w:val="both"/>
        <w:rPr>
          <w:b w:val="0"/>
          <w:color w:val="000000" w:themeColor="text1"/>
          <w:u w:val="none"/>
          <w:lang w:val="es-ES_tradnl"/>
        </w:rPr>
      </w:pPr>
      <w:r w:rsidRPr="003211A1">
        <w:rPr>
          <w:b w:val="0"/>
          <w:color w:val="000000" w:themeColor="text1"/>
          <w:u w:val="none"/>
          <w:lang w:val="es-ES_tradnl"/>
        </w:rPr>
        <w:t>Dev</w:t>
      </w:r>
      <w:r w:rsidR="003211A1">
        <w:rPr>
          <w:b w:val="0"/>
          <w:color w:val="000000" w:themeColor="text1"/>
          <w:u w:val="none"/>
          <w:lang w:val="es-ES_tradnl"/>
        </w:rPr>
        <w:t>uélvase</w:t>
      </w:r>
      <w:r w:rsidRPr="003211A1">
        <w:rPr>
          <w:b w:val="0"/>
          <w:color w:val="000000" w:themeColor="text1"/>
          <w:u w:val="none"/>
          <w:lang w:val="es-ES_tradnl"/>
        </w:rPr>
        <w:t>.</w:t>
      </w:r>
    </w:p>
    <w:p w:rsidR="00BE77D0" w:rsidRDefault="00BE77D0" w:rsidP="00BE77D0">
      <w:pPr>
        <w:pStyle w:val="Ttulo"/>
        <w:jc w:val="both"/>
        <w:rPr>
          <w:b w:val="0"/>
          <w:color w:val="000000" w:themeColor="text1"/>
          <w:u w:val="none"/>
          <w:lang w:val="es-ES_tradnl"/>
        </w:rPr>
      </w:pPr>
    </w:p>
    <w:p w:rsidR="00BE77D0" w:rsidRPr="003211A1" w:rsidRDefault="00BE77D0" w:rsidP="00BE77D0">
      <w:pPr>
        <w:pStyle w:val="Ttulo"/>
        <w:jc w:val="both"/>
        <w:rPr>
          <w:b w:val="0"/>
          <w:color w:val="000000" w:themeColor="text1"/>
          <w:u w:val="none"/>
          <w:lang w:val="es-ES_tradnl"/>
        </w:rPr>
      </w:pPr>
      <w:r>
        <w:rPr>
          <w:b w:val="0"/>
          <w:color w:val="000000" w:themeColor="text1"/>
          <w:u w:val="none"/>
          <w:lang w:val="es-ES_tradnl"/>
        </w:rPr>
        <w:t>LO</w:t>
      </w:r>
    </w:p>
    <w:p w:rsidR="0064081A" w:rsidRPr="00724106" w:rsidRDefault="0064081A" w:rsidP="0064081A">
      <w:pPr>
        <w:spacing w:line="360" w:lineRule="auto"/>
        <w:jc w:val="both"/>
        <w:rPr>
          <w:rFonts w:ascii="Arial" w:hAnsi="Arial" w:cs="Arial"/>
          <w:b w:val="0"/>
          <w:color w:val="000000" w:themeColor="text1"/>
          <w:lang w:val="es-ES_tradnl"/>
        </w:rPr>
      </w:pPr>
    </w:p>
    <w:p w:rsidR="0064081A" w:rsidRPr="00724106" w:rsidRDefault="0064081A" w:rsidP="0064081A">
      <w:pPr>
        <w:jc w:val="both"/>
        <w:rPr>
          <w:rFonts w:ascii="Arial" w:hAnsi="Arial" w:cs="Arial"/>
          <w:b w:val="0"/>
          <w:color w:val="000000" w:themeColor="text1"/>
          <w:lang w:val="es-ES_tradnl"/>
        </w:rPr>
      </w:pPr>
    </w:p>
    <w:p w:rsidR="00576467" w:rsidRPr="00724106" w:rsidRDefault="00576467" w:rsidP="00576467">
      <w:pPr>
        <w:pStyle w:val="Ttulo"/>
        <w:jc w:val="both"/>
        <w:rPr>
          <w:b w:val="0"/>
          <w:bCs/>
          <w:color w:val="000000" w:themeColor="text1"/>
          <w:u w:val="none"/>
        </w:rPr>
      </w:pPr>
    </w:p>
    <w:p w:rsidR="00576467" w:rsidRPr="00724106" w:rsidRDefault="00576467" w:rsidP="00576467">
      <w:pPr>
        <w:pStyle w:val="Ttulo"/>
        <w:jc w:val="both"/>
        <w:rPr>
          <w:b w:val="0"/>
          <w:bCs/>
          <w:color w:val="000000" w:themeColor="text1"/>
          <w:u w:val="none"/>
          <w:lang w:val="es-ES_tradnl"/>
        </w:rPr>
      </w:pPr>
    </w:p>
    <w:sectPr w:rsidR="00576467" w:rsidRPr="00724106" w:rsidSect="007E7E61">
      <w:pgSz w:w="11906" w:h="16838" w:code="9"/>
      <w:pgMar w:top="3402" w:right="1701" w:bottom="1134" w:left="1843" w:header="709"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80E" w:rsidRDefault="001B280E" w:rsidP="000B5AEE">
      <w:r>
        <w:separator/>
      </w:r>
    </w:p>
  </w:endnote>
  <w:endnote w:type="continuationSeparator" w:id="0">
    <w:p w:rsidR="001B280E" w:rsidRDefault="001B280E" w:rsidP="000B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icPS">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80E" w:rsidRDefault="001B280E" w:rsidP="000B5AEE">
      <w:r>
        <w:separator/>
      </w:r>
    </w:p>
  </w:footnote>
  <w:footnote w:type="continuationSeparator" w:id="0">
    <w:p w:rsidR="001B280E" w:rsidRDefault="001B280E" w:rsidP="000B5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ADF"/>
    <w:multiLevelType w:val="hybridMultilevel"/>
    <w:tmpl w:val="A3C66D54"/>
    <w:lvl w:ilvl="0" w:tplc="03285C6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12F56B41"/>
    <w:multiLevelType w:val="hybridMultilevel"/>
    <w:tmpl w:val="A3C66D54"/>
    <w:lvl w:ilvl="0" w:tplc="03285C6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2FF915F0"/>
    <w:multiLevelType w:val="hybridMultilevel"/>
    <w:tmpl w:val="2E9EBB84"/>
    <w:lvl w:ilvl="0" w:tplc="6EEE3CCA">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3AE34A3B"/>
    <w:multiLevelType w:val="hybridMultilevel"/>
    <w:tmpl w:val="A3C66D54"/>
    <w:lvl w:ilvl="0" w:tplc="03285C6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40C32B6F"/>
    <w:multiLevelType w:val="hybridMultilevel"/>
    <w:tmpl w:val="C08EA9F2"/>
    <w:lvl w:ilvl="0" w:tplc="BC06BAFA">
      <w:start w:val="11"/>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5">
    <w:nsid w:val="426E43C0"/>
    <w:multiLevelType w:val="hybridMultilevel"/>
    <w:tmpl w:val="793450BE"/>
    <w:lvl w:ilvl="0" w:tplc="21B0A4F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12A74EE"/>
    <w:multiLevelType w:val="hybridMultilevel"/>
    <w:tmpl w:val="DF3CA6E8"/>
    <w:lvl w:ilvl="0" w:tplc="18526F22">
      <w:numFmt w:val="bullet"/>
      <w:lvlText w:val="-"/>
      <w:lvlJc w:val="left"/>
      <w:pPr>
        <w:ind w:left="1440" w:hanging="360"/>
      </w:pPr>
      <w:rPr>
        <w:rFonts w:ascii="GothicPS" w:eastAsia="Times New Roman" w:hAnsi="GothicPS"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584D4DC7"/>
    <w:multiLevelType w:val="hybridMultilevel"/>
    <w:tmpl w:val="44327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D27441D"/>
    <w:multiLevelType w:val="hybridMultilevel"/>
    <w:tmpl w:val="A3C66D54"/>
    <w:lvl w:ilvl="0" w:tplc="03285C6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72BC5D8D"/>
    <w:multiLevelType w:val="hybridMultilevel"/>
    <w:tmpl w:val="67DCF3E6"/>
    <w:lvl w:ilvl="0" w:tplc="65249CE4">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9"/>
    </w:lvlOverride>
  </w:num>
  <w:num w:numId="4">
    <w:abstractNumId w:val="4"/>
  </w:num>
  <w:num w:numId="5">
    <w:abstractNumId w:val="3"/>
  </w:num>
  <w:num w:numId="6">
    <w:abstractNumId w:val="1"/>
  </w:num>
  <w:num w:numId="7">
    <w:abstractNumId w:val="0"/>
  </w:num>
  <w:num w:numId="8">
    <w:abstractNumId w:val="8"/>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4C"/>
    <w:rsid w:val="000175FA"/>
    <w:rsid w:val="00024A80"/>
    <w:rsid w:val="000321C5"/>
    <w:rsid w:val="00043D3F"/>
    <w:rsid w:val="00055394"/>
    <w:rsid w:val="00073C39"/>
    <w:rsid w:val="000817F5"/>
    <w:rsid w:val="0008301C"/>
    <w:rsid w:val="000A6FAB"/>
    <w:rsid w:val="000B5AEE"/>
    <w:rsid w:val="000D000D"/>
    <w:rsid w:val="001161D5"/>
    <w:rsid w:val="00142088"/>
    <w:rsid w:val="001504AD"/>
    <w:rsid w:val="00155F35"/>
    <w:rsid w:val="00173840"/>
    <w:rsid w:val="00173900"/>
    <w:rsid w:val="001B0FD3"/>
    <w:rsid w:val="001B280E"/>
    <w:rsid w:val="001C23F1"/>
    <w:rsid w:val="001E1128"/>
    <w:rsid w:val="00201088"/>
    <w:rsid w:val="00236A70"/>
    <w:rsid w:val="00247019"/>
    <w:rsid w:val="00283583"/>
    <w:rsid w:val="002C5FFF"/>
    <w:rsid w:val="002D0318"/>
    <w:rsid w:val="003211A1"/>
    <w:rsid w:val="00353CB8"/>
    <w:rsid w:val="0038258A"/>
    <w:rsid w:val="00443FE6"/>
    <w:rsid w:val="00481CA2"/>
    <w:rsid w:val="004A44F2"/>
    <w:rsid w:val="004A5882"/>
    <w:rsid w:val="004D44B2"/>
    <w:rsid w:val="004F590B"/>
    <w:rsid w:val="00511AC2"/>
    <w:rsid w:val="00527F42"/>
    <w:rsid w:val="00553879"/>
    <w:rsid w:val="00574D69"/>
    <w:rsid w:val="00576467"/>
    <w:rsid w:val="00583046"/>
    <w:rsid w:val="0059525C"/>
    <w:rsid w:val="005B4563"/>
    <w:rsid w:val="005D2681"/>
    <w:rsid w:val="0060481B"/>
    <w:rsid w:val="00622E37"/>
    <w:rsid w:val="006307FC"/>
    <w:rsid w:val="0064081A"/>
    <w:rsid w:val="00641622"/>
    <w:rsid w:val="006A18AB"/>
    <w:rsid w:val="006B1782"/>
    <w:rsid w:val="006C3CCD"/>
    <w:rsid w:val="006C3D64"/>
    <w:rsid w:val="006C5838"/>
    <w:rsid w:val="006E4FE5"/>
    <w:rsid w:val="006F083E"/>
    <w:rsid w:val="0070124C"/>
    <w:rsid w:val="00724106"/>
    <w:rsid w:val="00734B93"/>
    <w:rsid w:val="007572EF"/>
    <w:rsid w:val="00773F8A"/>
    <w:rsid w:val="0077429E"/>
    <w:rsid w:val="00783C1C"/>
    <w:rsid w:val="00786FA7"/>
    <w:rsid w:val="007C0370"/>
    <w:rsid w:val="007C1322"/>
    <w:rsid w:val="007E3F1B"/>
    <w:rsid w:val="007E7E61"/>
    <w:rsid w:val="00805B17"/>
    <w:rsid w:val="00813194"/>
    <w:rsid w:val="008220BA"/>
    <w:rsid w:val="0082280D"/>
    <w:rsid w:val="00841AD4"/>
    <w:rsid w:val="00841C0C"/>
    <w:rsid w:val="00875096"/>
    <w:rsid w:val="008A2BA4"/>
    <w:rsid w:val="008B4B10"/>
    <w:rsid w:val="008C748B"/>
    <w:rsid w:val="008E07B6"/>
    <w:rsid w:val="0093235D"/>
    <w:rsid w:val="00933FDF"/>
    <w:rsid w:val="00951622"/>
    <w:rsid w:val="009557C6"/>
    <w:rsid w:val="009969C8"/>
    <w:rsid w:val="009A5AA9"/>
    <w:rsid w:val="009B1970"/>
    <w:rsid w:val="009C1DC9"/>
    <w:rsid w:val="009C4276"/>
    <w:rsid w:val="009C483F"/>
    <w:rsid w:val="009C4A4C"/>
    <w:rsid w:val="009C7797"/>
    <w:rsid w:val="009E2B58"/>
    <w:rsid w:val="009E74D7"/>
    <w:rsid w:val="00A01148"/>
    <w:rsid w:val="00A0313A"/>
    <w:rsid w:val="00A03971"/>
    <w:rsid w:val="00A30169"/>
    <w:rsid w:val="00A31EFF"/>
    <w:rsid w:val="00A41CCF"/>
    <w:rsid w:val="00AB2CF6"/>
    <w:rsid w:val="00B03838"/>
    <w:rsid w:val="00B216F4"/>
    <w:rsid w:val="00B2624D"/>
    <w:rsid w:val="00B34D8B"/>
    <w:rsid w:val="00B60D3C"/>
    <w:rsid w:val="00B657A8"/>
    <w:rsid w:val="00B8320E"/>
    <w:rsid w:val="00B905F8"/>
    <w:rsid w:val="00BA6430"/>
    <w:rsid w:val="00BC5224"/>
    <w:rsid w:val="00BE77D0"/>
    <w:rsid w:val="00C32D36"/>
    <w:rsid w:val="00C61420"/>
    <w:rsid w:val="00C77275"/>
    <w:rsid w:val="00C8288C"/>
    <w:rsid w:val="00C86CE9"/>
    <w:rsid w:val="00C9350D"/>
    <w:rsid w:val="00CA15AA"/>
    <w:rsid w:val="00CB1401"/>
    <w:rsid w:val="00CD52FB"/>
    <w:rsid w:val="00CD636F"/>
    <w:rsid w:val="00CD744E"/>
    <w:rsid w:val="00CF3E6E"/>
    <w:rsid w:val="00D05CC1"/>
    <w:rsid w:val="00D06305"/>
    <w:rsid w:val="00D34FFD"/>
    <w:rsid w:val="00D603DD"/>
    <w:rsid w:val="00D66219"/>
    <w:rsid w:val="00D71C66"/>
    <w:rsid w:val="00DB77C4"/>
    <w:rsid w:val="00DC2374"/>
    <w:rsid w:val="00DC62BE"/>
    <w:rsid w:val="00DD6273"/>
    <w:rsid w:val="00DE30F1"/>
    <w:rsid w:val="00DF1993"/>
    <w:rsid w:val="00E3273B"/>
    <w:rsid w:val="00E36E25"/>
    <w:rsid w:val="00E41D5D"/>
    <w:rsid w:val="00EC6D59"/>
    <w:rsid w:val="00EC741F"/>
    <w:rsid w:val="00F127F6"/>
    <w:rsid w:val="00F248A5"/>
    <w:rsid w:val="00F5279C"/>
    <w:rsid w:val="00F57037"/>
    <w:rsid w:val="00F61313"/>
    <w:rsid w:val="00F70CD0"/>
    <w:rsid w:val="00F86FC1"/>
    <w:rsid w:val="00FD164D"/>
    <w:rsid w:val="00FE3D00"/>
    <w:rsid w:val="00FE511D"/>
    <w:rsid w:val="00FF08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22"/>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51622"/>
    <w:pPr>
      <w:keepNext/>
      <w:jc w:val="center"/>
      <w:outlineLvl w:val="1"/>
    </w:pPr>
    <w:rPr>
      <w:rFonts w:ascii="Arial" w:hAnsi="Arial" w:cs="Arial"/>
      <w:lang w:val="es-ES_tradnl"/>
    </w:rPr>
  </w:style>
  <w:style w:type="paragraph" w:styleId="Ttulo8">
    <w:name w:val="heading 8"/>
    <w:basedOn w:val="Normal"/>
    <w:next w:val="Normal"/>
    <w:link w:val="Ttulo8Car"/>
    <w:unhideWhenUsed/>
    <w:qFormat/>
    <w:rsid w:val="0060481B"/>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51622"/>
    <w:rPr>
      <w:rFonts w:ascii="Arial" w:eastAsia="Times New Roman" w:hAnsi="Arial" w:cs="Arial"/>
      <w:b/>
      <w:color w:val="000000"/>
      <w:sz w:val="24"/>
      <w:szCs w:val="20"/>
      <w:lang w:val="es-ES_tradnl" w:eastAsia="es-ES"/>
    </w:rPr>
  </w:style>
  <w:style w:type="paragraph" w:styleId="Prrafodelista">
    <w:name w:val="List Paragraph"/>
    <w:basedOn w:val="Normal"/>
    <w:uiPriority w:val="34"/>
    <w:qFormat/>
    <w:rsid w:val="00C77275"/>
    <w:pPr>
      <w:ind w:left="720"/>
      <w:contextualSpacing/>
    </w:pPr>
  </w:style>
  <w:style w:type="paragraph" w:styleId="Ttulo">
    <w:name w:val="Title"/>
    <w:basedOn w:val="Normal"/>
    <w:link w:val="TtuloCar"/>
    <w:qFormat/>
    <w:rsid w:val="00DC62BE"/>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DC62BE"/>
    <w:rPr>
      <w:rFonts w:ascii="Arial" w:eastAsia="Times New Roman" w:hAnsi="Arial" w:cs="Times New Roman"/>
      <w:b/>
      <w:sz w:val="24"/>
      <w:szCs w:val="24"/>
      <w:u w:val="single"/>
      <w:lang w:val="es-UY" w:eastAsia="es-ES"/>
    </w:rPr>
  </w:style>
  <w:style w:type="paragraph" w:styleId="Encabezado">
    <w:name w:val="header"/>
    <w:basedOn w:val="Normal"/>
    <w:link w:val="EncabezadoCar"/>
    <w:uiPriority w:val="99"/>
    <w:unhideWhenUsed/>
    <w:rsid w:val="000B5AEE"/>
    <w:pPr>
      <w:tabs>
        <w:tab w:val="center" w:pos="4252"/>
        <w:tab w:val="right" w:pos="8504"/>
      </w:tabs>
    </w:pPr>
  </w:style>
  <w:style w:type="character" w:customStyle="1" w:styleId="EncabezadoCar">
    <w:name w:val="Encabezado Car"/>
    <w:basedOn w:val="Fuentedeprrafopredeter"/>
    <w:link w:val="Encabezado"/>
    <w:uiPriority w:val="99"/>
    <w:rsid w:val="000B5AEE"/>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0B5AEE"/>
    <w:pPr>
      <w:tabs>
        <w:tab w:val="center" w:pos="4252"/>
        <w:tab w:val="right" w:pos="8504"/>
      </w:tabs>
    </w:pPr>
  </w:style>
  <w:style w:type="character" w:customStyle="1" w:styleId="PiedepginaCar">
    <w:name w:val="Pie de página Car"/>
    <w:basedOn w:val="Fuentedeprrafopredeter"/>
    <w:link w:val="Piedepgina"/>
    <w:uiPriority w:val="99"/>
    <w:rsid w:val="000B5AEE"/>
    <w:rPr>
      <w:rFonts w:ascii="GothicPS" w:eastAsia="Times New Roman" w:hAnsi="GothicPS" w:cs="Times New Roman"/>
      <w:b/>
      <w:color w:val="000000"/>
      <w:sz w:val="24"/>
      <w:szCs w:val="20"/>
      <w:lang w:eastAsia="es-ES"/>
    </w:rPr>
  </w:style>
  <w:style w:type="character" w:customStyle="1" w:styleId="Ttulo8Car">
    <w:name w:val="Título 8 Car"/>
    <w:basedOn w:val="Fuentedeprrafopredeter"/>
    <w:link w:val="Ttulo8"/>
    <w:uiPriority w:val="9"/>
    <w:semiHidden/>
    <w:rsid w:val="0060481B"/>
    <w:rPr>
      <w:rFonts w:asciiTheme="majorHAnsi" w:eastAsiaTheme="majorEastAsia" w:hAnsiTheme="majorHAnsi" w:cstheme="majorBidi"/>
      <w:b/>
      <w:color w:val="404040" w:themeColor="text1" w:themeTint="BF"/>
      <w:sz w:val="20"/>
      <w:szCs w:val="20"/>
      <w:lang w:eastAsia="es-ES"/>
    </w:rPr>
  </w:style>
  <w:style w:type="paragraph" w:styleId="Textoindependiente2">
    <w:name w:val="Body Text 2"/>
    <w:basedOn w:val="Normal"/>
    <w:link w:val="Textoindependiente2Car"/>
    <w:semiHidden/>
    <w:rsid w:val="0060481B"/>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60481B"/>
    <w:rPr>
      <w:rFonts w:ascii="Arial" w:eastAsia="Times New Roman" w:hAnsi="Arial" w:cs="Arial"/>
      <w:bCs/>
      <w:color w:val="000000"/>
      <w:sz w:val="24"/>
      <w:szCs w:val="20"/>
      <w:lang w:val="es-ES_tradnl" w:eastAsia="es-ES"/>
    </w:rPr>
  </w:style>
  <w:style w:type="table" w:styleId="Tablaconcuadrcula">
    <w:name w:val="Table Grid"/>
    <w:basedOn w:val="Tablanormal"/>
    <w:uiPriority w:val="59"/>
    <w:rsid w:val="00BC5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77429E"/>
    <w:pPr>
      <w:spacing w:after="120"/>
      <w:ind w:left="283"/>
    </w:pPr>
  </w:style>
  <w:style w:type="character" w:customStyle="1" w:styleId="SangradetextonormalCar">
    <w:name w:val="Sangría de texto normal Car"/>
    <w:basedOn w:val="Fuentedeprrafopredeter"/>
    <w:link w:val="Sangradetextonormal"/>
    <w:uiPriority w:val="99"/>
    <w:semiHidden/>
    <w:rsid w:val="0077429E"/>
    <w:rPr>
      <w:rFonts w:ascii="GothicPS" w:eastAsia="Times New Roman" w:hAnsi="GothicPS" w:cs="Times New Roman"/>
      <w:b/>
      <w:color w:val="000000"/>
      <w:sz w:val="24"/>
      <w:szCs w:val="20"/>
      <w:lang w:eastAsia="es-ES"/>
    </w:rPr>
  </w:style>
  <w:style w:type="paragraph" w:styleId="Textodeglobo">
    <w:name w:val="Balloon Text"/>
    <w:basedOn w:val="Normal"/>
    <w:link w:val="TextodegloboCar"/>
    <w:uiPriority w:val="99"/>
    <w:semiHidden/>
    <w:unhideWhenUsed/>
    <w:rsid w:val="00773F8A"/>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F8A"/>
    <w:rPr>
      <w:rFonts w:ascii="Tahoma" w:eastAsia="Times New Roman" w:hAnsi="Tahoma" w:cs="Tahoma"/>
      <w:b/>
      <w:color w:val="000000"/>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22"/>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51622"/>
    <w:pPr>
      <w:keepNext/>
      <w:jc w:val="center"/>
      <w:outlineLvl w:val="1"/>
    </w:pPr>
    <w:rPr>
      <w:rFonts w:ascii="Arial" w:hAnsi="Arial" w:cs="Arial"/>
      <w:lang w:val="es-ES_tradnl"/>
    </w:rPr>
  </w:style>
  <w:style w:type="paragraph" w:styleId="Ttulo8">
    <w:name w:val="heading 8"/>
    <w:basedOn w:val="Normal"/>
    <w:next w:val="Normal"/>
    <w:link w:val="Ttulo8Car"/>
    <w:unhideWhenUsed/>
    <w:qFormat/>
    <w:rsid w:val="0060481B"/>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51622"/>
    <w:rPr>
      <w:rFonts w:ascii="Arial" w:eastAsia="Times New Roman" w:hAnsi="Arial" w:cs="Arial"/>
      <w:b/>
      <w:color w:val="000000"/>
      <w:sz w:val="24"/>
      <w:szCs w:val="20"/>
      <w:lang w:val="es-ES_tradnl" w:eastAsia="es-ES"/>
    </w:rPr>
  </w:style>
  <w:style w:type="paragraph" w:styleId="Prrafodelista">
    <w:name w:val="List Paragraph"/>
    <w:basedOn w:val="Normal"/>
    <w:uiPriority w:val="34"/>
    <w:qFormat/>
    <w:rsid w:val="00C77275"/>
    <w:pPr>
      <w:ind w:left="720"/>
      <w:contextualSpacing/>
    </w:pPr>
  </w:style>
  <w:style w:type="paragraph" w:styleId="Ttulo">
    <w:name w:val="Title"/>
    <w:basedOn w:val="Normal"/>
    <w:link w:val="TtuloCar"/>
    <w:qFormat/>
    <w:rsid w:val="00DC62BE"/>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DC62BE"/>
    <w:rPr>
      <w:rFonts w:ascii="Arial" w:eastAsia="Times New Roman" w:hAnsi="Arial" w:cs="Times New Roman"/>
      <w:b/>
      <w:sz w:val="24"/>
      <w:szCs w:val="24"/>
      <w:u w:val="single"/>
      <w:lang w:val="es-UY" w:eastAsia="es-ES"/>
    </w:rPr>
  </w:style>
  <w:style w:type="paragraph" w:styleId="Encabezado">
    <w:name w:val="header"/>
    <w:basedOn w:val="Normal"/>
    <w:link w:val="EncabezadoCar"/>
    <w:uiPriority w:val="99"/>
    <w:unhideWhenUsed/>
    <w:rsid w:val="000B5AEE"/>
    <w:pPr>
      <w:tabs>
        <w:tab w:val="center" w:pos="4252"/>
        <w:tab w:val="right" w:pos="8504"/>
      </w:tabs>
    </w:pPr>
  </w:style>
  <w:style w:type="character" w:customStyle="1" w:styleId="EncabezadoCar">
    <w:name w:val="Encabezado Car"/>
    <w:basedOn w:val="Fuentedeprrafopredeter"/>
    <w:link w:val="Encabezado"/>
    <w:uiPriority w:val="99"/>
    <w:rsid w:val="000B5AEE"/>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0B5AEE"/>
    <w:pPr>
      <w:tabs>
        <w:tab w:val="center" w:pos="4252"/>
        <w:tab w:val="right" w:pos="8504"/>
      </w:tabs>
    </w:pPr>
  </w:style>
  <w:style w:type="character" w:customStyle="1" w:styleId="PiedepginaCar">
    <w:name w:val="Pie de página Car"/>
    <w:basedOn w:val="Fuentedeprrafopredeter"/>
    <w:link w:val="Piedepgina"/>
    <w:uiPriority w:val="99"/>
    <w:rsid w:val="000B5AEE"/>
    <w:rPr>
      <w:rFonts w:ascii="GothicPS" w:eastAsia="Times New Roman" w:hAnsi="GothicPS" w:cs="Times New Roman"/>
      <w:b/>
      <w:color w:val="000000"/>
      <w:sz w:val="24"/>
      <w:szCs w:val="20"/>
      <w:lang w:eastAsia="es-ES"/>
    </w:rPr>
  </w:style>
  <w:style w:type="character" w:customStyle="1" w:styleId="Ttulo8Car">
    <w:name w:val="Título 8 Car"/>
    <w:basedOn w:val="Fuentedeprrafopredeter"/>
    <w:link w:val="Ttulo8"/>
    <w:uiPriority w:val="9"/>
    <w:semiHidden/>
    <w:rsid w:val="0060481B"/>
    <w:rPr>
      <w:rFonts w:asciiTheme="majorHAnsi" w:eastAsiaTheme="majorEastAsia" w:hAnsiTheme="majorHAnsi" w:cstheme="majorBidi"/>
      <w:b/>
      <w:color w:val="404040" w:themeColor="text1" w:themeTint="BF"/>
      <w:sz w:val="20"/>
      <w:szCs w:val="20"/>
      <w:lang w:eastAsia="es-ES"/>
    </w:rPr>
  </w:style>
  <w:style w:type="paragraph" w:styleId="Textoindependiente2">
    <w:name w:val="Body Text 2"/>
    <w:basedOn w:val="Normal"/>
    <w:link w:val="Textoindependiente2Car"/>
    <w:semiHidden/>
    <w:rsid w:val="0060481B"/>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60481B"/>
    <w:rPr>
      <w:rFonts w:ascii="Arial" w:eastAsia="Times New Roman" w:hAnsi="Arial" w:cs="Arial"/>
      <w:bCs/>
      <w:color w:val="000000"/>
      <w:sz w:val="24"/>
      <w:szCs w:val="20"/>
      <w:lang w:val="es-ES_tradnl" w:eastAsia="es-ES"/>
    </w:rPr>
  </w:style>
  <w:style w:type="table" w:styleId="Tablaconcuadrcula">
    <w:name w:val="Table Grid"/>
    <w:basedOn w:val="Tablanormal"/>
    <w:uiPriority w:val="59"/>
    <w:rsid w:val="00BC5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77429E"/>
    <w:pPr>
      <w:spacing w:after="120"/>
      <w:ind w:left="283"/>
    </w:pPr>
  </w:style>
  <w:style w:type="character" w:customStyle="1" w:styleId="SangradetextonormalCar">
    <w:name w:val="Sangría de texto normal Car"/>
    <w:basedOn w:val="Fuentedeprrafopredeter"/>
    <w:link w:val="Sangradetextonormal"/>
    <w:uiPriority w:val="99"/>
    <w:semiHidden/>
    <w:rsid w:val="0077429E"/>
    <w:rPr>
      <w:rFonts w:ascii="GothicPS" w:eastAsia="Times New Roman" w:hAnsi="GothicPS" w:cs="Times New Roman"/>
      <w:b/>
      <w:color w:val="000000"/>
      <w:sz w:val="24"/>
      <w:szCs w:val="20"/>
      <w:lang w:eastAsia="es-ES"/>
    </w:rPr>
  </w:style>
  <w:style w:type="paragraph" w:styleId="Textodeglobo">
    <w:name w:val="Balloon Text"/>
    <w:basedOn w:val="Normal"/>
    <w:link w:val="TextodegloboCar"/>
    <w:uiPriority w:val="99"/>
    <w:semiHidden/>
    <w:unhideWhenUsed/>
    <w:rsid w:val="00773F8A"/>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F8A"/>
    <w:rPr>
      <w:rFonts w:ascii="Tahoma" w:eastAsia="Times New Roman" w:hAnsi="Tahoma" w:cs="Tahoma"/>
      <w:b/>
      <w:color w:val="00000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05EA-741B-4FC6-810C-0ED7C37C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1423</Words>
  <Characters>7828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16</cp:revision>
  <cp:lastPrinted>2015-04-06T19:52:00Z</cp:lastPrinted>
  <dcterms:created xsi:type="dcterms:W3CDTF">2015-03-27T18:30:00Z</dcterms:created>
  <dcterms:modified xsi:type="dcterms:W3CDTF">2015-04-06T19:52:00Z</dcterms:modified>
</cp:coreProperties>
</file>