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4E" w:rsidRDefault="007B2D4E" w:rsidP="007B2D4E">
      <w:pPr>
        <w:tabs>
          <w:tab w:val="center" w:pos="4253"/>
        </w:tabs>
        <w:spacing w:after="0" w:line="240" w:lineRule="auto"/>
        <w:jc w:val="center"/>
        <w:rPr>
          <w:rFonts w:eastAsia="Calibri"/>
          <w:b/>
          <w:lang w:val="es-ES_tradnl" w:eastAsia="en-US"/>
        </w:rPr>
      </w:pPr>
      <w:bookmarkStart w:id="0" w:name="_GoBack"/>
      <w:bookmarkEnd w:id="0"/>
      <w:r>
        <w:rPr>
          <w:rFonts w:eastAsia="Calibri"/>
          <w:b/>
          <w:lang w:val="es-ES_tradnl" w:eastAsia="en-US"/>
        </w:rPr>
        <w:t>RESOLUCION ADOPTADA POR EL</w:t>
      </w:r>
    </w:p>
    <w:p w:rsidR="007B2D4E" w:rsidRDefault="007B2D4E" w:rsidP="007B2D4E">
      <w:pPr>
        <w:tabs>
          <w:tab w:val="left" w:pos="-720"/>
        </w:tabs>
        <w:spacing w:after="0" w:line="240" w:lineRule="auto"/>
        <w:jc w:val="center"/>
        <w:rPr>
          <w:rFonts w:eastAsia="Calibri"/>
          <w:b/>
          <w:lang w:val="es-ES_tradnl" w:eastAsia="en-US"/>
        </w:rPr>
      </w:pPr>
    </w:p>
    <w:p w:rsidR="007B2D4E" w:rsidRDefault="007B2D4E" w:rsidP="007B2D4E">
      <w:pPr>
        <w:tabs>
          <w:tab w:val="center" w:pos="4253"/>
        </w:tabs>
        <w:spacing w:after="0" w:line="240" w:lineRule="auto"/>
        <w:jc w:val="center"/>
        <w:rPr>
          <w:rFonts w:eastAsia="Calibri"/>
          <w:b/>
          <w:lang w:val="es-ES_tradnl" w:eastAsia="en-US"/>
        </w:rPr>
      </w:pPr>
      <w:r>
        <w:rPr>
          <w:rFonts w:eastAsia="Calibri"/>
          <w:b/>
          <w:lang w:val="es-ES_tradnl" w:eastAsia="en-US"/>
        </w:rPr>
        <w:t>TRIBUNAL DE CUENTAS</w:t>
      </w:r>
    </w:p>
    <w:p w:rsidR="007B2D4E" w:rsidRDefault="007B2D4E" w:rsidP="007B2D4E">
      <w:pPr>
        <w:tabs>
          <w:tab w:val="left" w:pos="-720"/>
        </w:tabs>
        <w:spacing w:after="0" w:line="240" w:lineRule="auto"/>
        <w:jc w:val="center"/>
        <w:rPr>
          <w:rFonts w:eastAsia="Calibri"/>
          <w:b/>
          <w:lang w:val="es-ES_tradnl" w:eastAsia="en-US"/>
        </w:rPr>
      </w:pPr>
    </w:p>
    <w:p w:rsidR="007B2D4E" w:rsidRDefault="007B2D4E" w:rsidP="007B2D4E">
      <w:pPr>
        <w:tabs>
          <w:tab w:val="center" w:pos="4253"/>
        </w:tabs>
        <w:spacing w:after="0" w:line="240" w:lineRule="auto"/>
        <w:jc w:val="center"/>
        <w:rPr>
          <w:rFonts w:eastAsia="Calibri"/>
          <w:b/>
          <w:lang w:val="es-ES_tradnl" w:eastAsia="en-US"/>
        </w:rPr>
      </w:pPr>
      <w:r>
        <w:rPr>
          <w:rFonts w:eastAsia="Calibri"/>
          <w:b/>
          <w:lang w:val="es-ES_tradnl" w:eastAsia="en-US"/>
        </w:rPr>
        <w:t>EN SESION DE FECHA 19 DE FEBRERO DE 2015</w:t>
      </w:r>
    </w:p>
    <w:p w:rsidR="007B2D4E" w:rsidRDefault="007B2D4E" w:rsidP="007B2D4E">
      <w:pPr>
        <w:tabs>
          <w:tab w:val="center" w:pos="4253"/>
        </w:tabs>
        <w:spacing w:after="0" w:line="240" w:lineRule="auto"/>
        <w:jc w:val="center"/>
        <w:rPr>
          <w:rFonts w:eastAsia="Calibri"/>
          <w:b/>
          <w:lang w:val="es-ES_tradnl" w:eastAsia="en-US"/>
        </w:rPr>
      </w:pPr>
    </w:p>
    <w:p w:rsidR="007B2D4E" w:rsidRDefault="007B2D4E" w:rsidP="007B2D4E">
      <w:pPr>
        <w:tabs>
          <w:tab w:val="center" w:pos="4253"/>
        </w:tabs>
        <w:spacing w:after="0" w:line="240" w:lineRule="auto"/>
        <w:jc w:val="center"/>
        <w:rPr>
          <w:rFonts w:eastAsia="Calibri"/>
          <w:b/>
          <w:lang w:val="es-ES_tradnl" w:eastAsia="en-US"/>
        </w:rPr>
      </w:pPr>
      <w:r>
        <w:rPr>
          <w:rFonts w:eastAsia="Calibri"/>
          <w:b/>
          <w:lang w:val="es-ES_tradnl" w:eastAsia="en-US"/>
        </w:rPr>
        <w:t xml:space="preserve">(E. E. Nº 2012-17-1-0002010, </w:t>
      </w:r>
      <w:proofErr w:type="spellStart"/>
      <w:r>
        <w:rPr>
          <w:rFonts w:eastAsia="Calibri"/>
          <w:b/>
          <w:lang w:val="es-ES_tradnl" w:eastAsia="en-US"/>
        </w:rPr>
        <w:t>Ent</w:t>
      </w:r>
      <w:proofErr w:type="spellEnd"/>
      <w:r>
        <w:rPr>
          <w:rFonts w:eastAsia="Calibri"/>
          <w:b/>
          <w:lang w:val="es-ES_tradnl" w:eastAsia="en-US"/>
        </w:rPr>
        <w:t>. N° 387/15)</w:t>
      </w:r>
    </w:p>
    <w:p w:rsidR="007B2D4E" w:rsidRDefault="007B2D4E" w:rsidP="007B2D4E">
      <w:pPr>
        <w:rPr>
          <w:rFonts w:ascii="Bookman Old Style" w:hAnsi="Bookman Old Style" w:cs="Times New Roman"/>
          <w:lang w:val="es-MX"/>
        </w:rPr>
      </w:pPr>
    </w:p>
    <w:p w:rsidR="00B37DC2" w:rsidRDefault="00DB0A54" w:rsidP="009A5B02">
      <w:pPr>
        <w:spacing w:after="0" w:line="360" w:lineRule="auto"/>
        <w:ind w:firstLine="851"/>
        <w:jc w:val="both"/>
      </w:pPr>
      <w:r w:rsidRPr="00DB0A54">
        <w:rPr>
          <w:b/>
        </w:rPr>
        <w:t>VISTO:</w:t>
      </w:r>
      <w:r>
        <w:rPr>
          <w:b/>
        </w:rPr>
        <w:t xml:space="preserve"> </w:t>
      </w:r>
      <w:r w:rsidR="00CF3992">
        <w:t>las actuaciones remitidas por</w:t>
      </w:r>
      <w:r w:rsidR="00630382">
        <w:t xml:space="preserve"> la Intendencia de Montevideo</w:t>
      </w:r>
      <w:r w:rsidR="00E20998">
        <w:t xml:space="preserve"> relacionadas con la reiteración del gasto derivado de</w:t>
      </w:r>
      <w:r w:rsidR="00630382">
        <w:t xml:space="preserve"> la ampliación de la </w:t>
      </w:r>
      <w:r w:rsidR="009A5B02">
        <w:t>L</w:t>
      </w:r>
      <w:r w:rsidR="00630382">
        <w:t xml:space="preserve">icitación </w:t>
      </w:r>
      <w:r w:rsidR="009A5B02">
        <w:t>P</w:t>
      </w:r>
      <w:r w:rsidR="00630382">
        <w:t>ública Nº 454/12 para la construcción y mejoramiento de pavimentos económicos y ejecución de carpeta asfáltica en los Municipios A y G</w:t>
      </w:r>
      <w:r w:rsidR="003D2E33">
        <w:t>,</w:t>
      </w:r>
      <w:r w:rsidR="00B37DC2">
        <w:t xml:space="preserve"> adjudicada al Consorcio </w:t>
      </w:r>
      <w:proofErr w:type="spellStart"/>
      <w:r w:rsidR="00B37DC2">
        <w:t>Idalar</w:t>
      </w:r>
      <w:proofErr w:type="spellEnd"/>
      <w:r w:rsidR="00B37DC2">
        <w:t xml:space="preserve"> S.A</w:t>
      </w:r>
      <w:r w:rsidR="003D2E33">
        <w:t xml:space="preserve"> </w:t>
      </w:r>
      <w:r w:rsidR="00B37DC2">
        <w:t xml:space="preserve">- </w:t>
      </w:r>
      <w:proofErr w:type="spellStart"/>
      <w:r w:rsidR="00B37DC2">
        <w:t>Grinor</w:t>
      </w:r>
      <w:proofErr w:type="spellEnd"/>
      <w:r w:rsidR="00B37DC2">
        <w:t xml:space="preserve"> S.A</w:t>
      </w:r>
      <w:r w:rsidR="00630382">
        <w:t>;</w:t>
      </w:r>
    </w:p>
    <w:p w:rsidR="000E6C99" w:rsidRDefault="00DB0A54" w:rsidP="009A5B02">
      <w:pPr>
        <w:spacing w:after="0" w:line="360" w:lineRule="auto"/>
        <w:ind w:firstLine="851"/>
        <w:jc w:val="both"/>
      </w:pPr>
      <w:r>
        <w:rPr>
          <w:b/>
        </w:rPr>
        <w:t>RESULTANDO:</w:t>
      </w:r>
      <w:r w:rsidR="00711D44">
        <w:t xml:space="preserve"> </w:t>
      </w:r>
      <w:r w:rsidRPr="00DB0A54">
        <w:rPr>
          <w:b/>
        </w:rPr>
        <w:t>1)</w:t>
      </w:r>
      <w:r w:rsidR="00ED210F">
        <w:t xml:space="preserve"> </w:t>
      </w:r>
      <w:r w:rsidR="00A51094">
        <w:t>que</w:t>
      </w:r>
      <w:r w:rsidR="00E141EF">
        <w:t xml:space="preserve"> </w:t>
      </w:r>
      <w:r w:rsidR="001463DC">
        <w:t xml:space="preserve">por </w:t>
      </w:r>
      <w:r w:rsidR="00E20998">
        <w:t xml:space="preserve">Resolución Nº </w:t>
      </w:r>
      <w:r w:rsidR="00B37DC2">
        <w:t>4306</w:t>
      </w:r>
      <w:r w:rsidR="00061C32">
        <w:t>/1</w:t>
      </w:r>
      <w:r w:rsidR="00E20998">
        <w:t>4</w:t>
      </w:r>
      <w:r w:rsidR="00061C32">
        <w:t xml:space="preserve"> de fecha 2</w:t>
      </w:r>
      <w:r w:rsidR="00B37DC2">
        <w:t>9</w:t>
      </w:r>
      <w:r w:rsidR="00E20998">
        <w:t>.</w:t>
      </w:r>
      <w:r w:rsidR="00061C32">
        <w:t>0</w:t>
      </w:r>
      <w:r w:rsidR="00B37DC2">
        <w:t>9</w:t>
      </w:r>
      <w:r w:rsidR="00061C32">
        <w:t>.1</w:t>
      </w:r>
      <w:r w:rsidR="00E20998">
        <w:t>4</w:t>
      </w:r>
      <w:r w:rsidR="00061C32">
        <w:t xml:space="preserve"> </w:t>
      </w:r>
      <w:r w:rsidR="00B37DC2">
        <w:t xml:space="preserve">la </w:t>
      </w:r>
      <w:r w:rsidR="00061C32">
        <w:t>Intendent</w:t>
      </w:r>
      <w:r w:rsidR="00B37DC2">
        <w:t>a</w:t>
      </w:r>
      <w:r w:rsidR="00061C32">
        <w:t xml:space="preserve"> </w:t>
      </w:r>
      <w:r w:rsidR="00B37DC2">
        <w:t xml:space="preserve">de Montevideo resolvió ampliar en un 54,56% al amparo de lo dispuesto por el </w:t>
      </w:r>
      <w:r w:rsidR="009A5B02">
        <w:t>A</w:t>
      </w:r>
      <w:r w:rsidR="00B37DC2">
        <w:t>rt</w:t>
      </w:r>
      <w:r w:rsidR="009A5B02">
        <w:t>ículo</w:t>
      </w:r>
      <w:r w:rsidR="00B37DC2">
        <w:t xml:space="preserve"> 74 del TOCAF, la presente contratación por un monto total de $ 32:192.069,85 imprevistos, Leyes Sociales e IVA incluidos;</w:t>
      </w:r>
    </w:p>
    <w:p w:rsidR="00F742F9" w:rsidRDefault="000E6C99" w:rsidP="009A5B02">
      <w:pPr>
        <w:spacing w:after="0" w:line="360" w:lineRule="auto"/>
        <w:ind w:firstLine="2694"/>
        <w:jc w:val="both"/>
      </w:pPr>
      <w:r>
        <w:rPr>
          <w:b/>
        </w:rPr>
        <w:t xml:space="preserve">2) </w:t>
      </w:r>
      <w:r>
        <w:t>que</w:t>
      </w:r>
      <w:r w:rsidR="00B37DC2">
        <w:t xml:space="preserve"> este Tribunal con fecha 29.10.14 observó el gasto por contravenir lo dispuesto en el </w:t>
      </w:r>
      <w:r w:rsidR="009A5B02">
        <w:t>A</w:t>
      </w:r>
      <w:r w:rsidR="00B37DC2">
        <w:t>rt</w:t>
      </w:r>
      <w:r w:rsidR="009A5B02">
        <w:t>ículo</w:t>
      </w:r>
      <w:r w:rsidR="00B37DC2">
        <w:t xml:space="preserve"> 74 del TOCAF, dado que la ampliación </w:t>
      </w:r>
      <w:r w:rsidR="003D2E33">
        <w:t>proyectada excedía</w:t>
      </w:r>
      <w:r w:rsidR="00B37DC2">
        <w:t xml:space="preserve"> el 100% previsto en dicha norma</w:t>
      </w:r>
      <w:r w:rsidR="003D2E33">
        <w:t>, en ta</w:t>
      </w:r>
      <w:r w:rsidR="008F3522">
        <w:t xml:space="preserve">nto no es de recibo invocar un artículo </w:t>
      </w:r>
      <w:r w:rsidR="003D2E33">
        <w:t xml:space="preserve">del pliego para fundamentar una ampliación y además aplicar el artículo del TOCAF antedicho, superándose </w:t>
      </w:r>
      <w:r w:rsidR="008F3522">
        <w:t>el</w:t>
      </w:r>
      <w:r w:rsidR="003D2E33">
        <w:t xml:space="preserve"> límite previsto en la </w:t>
      </w:r>
      <w:r w:rsidR="008F3522">
        <w:t>norma</w:t>
      </w:r>
      <w:r w:rsidR="00B37DC2">
        <w:t>;</w:t>
      </w:r>
    </w:p>
    <w:p w:rsidR="00216002" w:rsidRPr="0078594C" w:rsidRDefault="00677387" w:rsidP="009A5B02">
      <w:pPr>
        <w:spacing w:after="0" w:line="360" w:lineRule="auto"/>
        <w:ind w:firstLine="2694"/>
        <w:jc w:val="both"/>
      </w:pPr>
      <w:r>
        <w:rPr>
          <w:b/>
        </w:rPr>
        <w:t>3</w:t>
      </w:r>
      <w:r w:rsidR="00B45BB9" w:rsidRPr="00B45BB9">
        <w:rPr>
          <w:b/>
        </w:rPr>
        <w:t>)</w:t>
      </w:r>
      <w:r w:rsidR="00B45BB9">
        <w:t xml:space="preserve"> que</w:t>
      </w:r>
      <w:r w:rsidR="008B43E3">
        <w:t xml:space="preserve"> </w:t>
      </w:r>
      <w:r w:rsidR="00F36687">
        <w:t xml:space="preserve">por </w:t>
      </w:r>
      <w:r w:rsidR="00A84BA2">
        <w:t>Resolución N</w:t>
      </w:r>
      <w:r w:rsidR="00F36687">
        <w:t xml:space="preserve">º </w:t>
      </w:r>
      <w:r w:rsidR="00B37DC2">
        <w:t>5646</w:t>
      </w:r>
      <w:r w:rsidR="00F36687">
        <w:t>/1</w:t>
      </w:r>
      <w:r w:rsidR="0078594C">
        <w:t>4</w:t>
      </w:r>
      <w:r w:rsidR="00F36687">
        <w:t xml:space="preserve"> de fecha </w:t>
      </w:r>
      <w:r w:rsidR="00B37DC2">
        <w:t>15</w:t>
      </w:r>
      <w:r w:rsidR="00F36687">
        <w:t>.</w:t>
      </w:r>
      <w:r w:rsidR="00E20998">
        <w:t>12</w:t>
      </w:r>
      <w:r w:rsidR="00F36687">
        <w:t>.1</w:t>
      </w:r>
      <w:r w:rsidR="0078594C">
        <w:t>4</w:t>
      </w:r>
      <w:r w:rsidR="000E6C99">
        <w:t xml:space="preserve"> </w:t>
      </w:r>
      <w:r w:rsidR="00B37DC2">
        <w:t>la Intendenta</w:t>
      </w:r>
      <w:r w:rsidR="00E20998">
        <w:t xml:space="preserve"> </w:t>
      </w:r>
      <w:r w:rsidR="00B45BB9">
        <w:t>reiteró el gasto</w:t>
      </w:r>
      <w:r w:rsidR="003D2E33">
        <w:t xml:space="preserve">, sosteniendo sucintamente que al estar la ampliación prevista en el pliego no se acumula sino que forma parte del contrato principal al igual que una prórroga, más allá del nombre que se invoque, siendo un todo con el contrato, por lo que es de aplicación el </w:t>
      </w:r>
      <w:r w:rsidR="009A5B02">
        <w:t xml:space="preserve">      A</w:t>
      </w:r>
      <w:r w:rsidR="003D2E33">
        <w:t>rtículo 74 del TOCAF</w:t>
      </w:r>
      <w:r w:rsidR="000E6C99">
        <w:t>;</w:t>
      </w:r>
    </w:p>
    <w:p w:rsidR="00E80A36" w:rsidRDefault="00B45BB9" w:rsidP="009A5B02">
      <w:pPr>
        <w:widowControl w:val="0"/>
        <w:tabs>
          <w:tab w:val="left" w:pos="1920"/>
        </w:tabs>
        <w:spacing w:after="0" w:line="360" w:lineRule="auto"/>
        <w:ind w:firstLine="851"/>
        <w:jc w:val="both"/>
        <w:rPr>
          <w:lang w:val="es-MX"/>
        </w:rPr>
      </w:pPr>
      <w:r>
        <w:rPr>
          <w:b/>
        </w:rPr>
        <w:t>CONSIDERANDO:</w:t>
      </w:r>
      <w:r w:rsidR="00E80A36">
        <w:rPr>
          <w:b/>
        </w:rPr>
        <w:t xml:space="preserve"> </w:t>
      </w:r>
      <w:r w:rsidR="00E80A36">
        <w:rPr>
          <w:b/>
          <w:bCs/>
        </w:rPr>
        <w:t>1)</w:t>
      </w:r>
      <w:r w:rsidR="00E80A36">
        <w:t xml:space="preserve"> </w:t>
      </w:r>
      <w:r w:rsidR="00E80A36">
        <w:rPr>
          <w:lang w:val="es-MX"/>
        </w:rPr>
        <w:t xml:space="preserve">que el Artículo 475 de la Ley 17.296 establece que los Ordenadores de gastos y pagos, al ejercer la facultad de insistencia o </w:t>
      </w:r>
      <w:r w:rsidR="00E80A36">
        <w:rPr>
          <w:lang w:val="es-MX"/>
        </w:rPr>
        <w:lastRenderedPageBreak/>
        <w:t>reiteración que les acuerda el Literal B) del Artículo 211 de la Constitución de la República, deben hacerlo en forma fundada,  expresando de manera detallada los motivos que justifican a su juicio segu</w:t>
      </w:r>
      <w:r w:rsidR="00D44604">
        <w:rPr>
          <w:lang w:val="es-MX"/>
        </w:rPr>
        <w:t>ir el curso del gasto del pago;</w:t>
      </w:r>
    </w:p>
    <w:p w:rsidR="00E80A36" w:rsidRDefault="00E80A36" w:rsidP="009A5B02">
      <w:pPr>
        <w:spacing w:after="0" w:line="360" w:lineRule="auto"/>
        <w:ind w:firstLine="2977"/>
        <w:jc w:val="both"/>
        <w:rPr>
          <w:lang w:val="es-MX"/>
        </w:rPr>
      </w:pPr>
      <w:r>
        <w:rPr>
          <w:b/>
          <w:bCs/>
          <w:lang w:val="es-MX"/>
        </w:rPr>
        <w:t xml:space="preserve">2) </w:t>
      </w:r>
      <w:r w:rsidR="00896FF8">
        <w:rPr>
          <w:lang w:val="es-MX"/>
        </w:rPr>
        <w:t xml:space="preserve">que </w:t>
      </w:r>
      <w:r>
        <w:rPr>
          <w:lang w:val="es-MX"/>
        </w:rPr>
        <w:t xml:space="preserve">se mantienen incambiadas las razones </w:t>
      </w:r>
      <w:r w:rsidR="00850C24">
        <w:rPr>
          <w:lang w:val="es-MX"/>
        </w:rPr>
        <w:t>que dieron lugar a la observació</w:t>
      </w:r>
      <w:r>
        <w:rPr>
          <w:lang w:val="es-MX"/>
        </w:rPr>
        <w:t>n</w:t>
      </w:r>
      <w:r w:rsidR="00525D49">
        <w:rPr>
          <w:lang w:val="es-MX"/>
        </w:rPr>
        <w:t xml:space="preserve"> por razones de legalidad</w:t>
      </w:r>
      <w:r>
        <w:rPr>
          <w:lang w:val="es-MX"/>
        </w:rPr>
        <w:t xml:space="preserve"> oportunamente efectuada por </w:t>
      </w:r>
      <w:r w:rsidR="00B37DC2">
        <w:rPr>
          <w:lang w:val="es-MX"/>
        </w:rPr>
        <w:t>este Tribunal</w:t>
      </w:r>
      <w:r w:rsidR="003D2E33">
        <w:rPr>
          <w:lang w:val="es-MX"/>
        </w:rPr>
        <w:t xml:space="preserve">, en tanto el citado </w:t>
      </w:r>
      <w:r w:rsidR="009A5B02">
        <w:rPr>
          <w:lang w:val="es-MX"/>
        </w:rPr>
        <w:t>A</w:t>
      </w:r>
      <w:r w:rsidR="003D2E33">
        <w:rPr>
          <w:lang w:val="es-MX"/>
        </w:rPr>
        <w:t>rtículo 74 es una norma de excepción</w:t>
      </w:r>
      <w:r w:rsidR="00672CF8">
        <w:rPr>
          <w:lang w:val="es-MX"/>
        </w:rPr>
        <w:t>;</w:t>
      </w:r>
    </w:p>
    <w:p w:rsidR="00E80A36" w:rsidRDefault="00E80A36" w:rsidP="009A5B02">
      <w:pPr>
        <w:tabs>
          <w:tab w:val="left" w:pos="993"/>
        </w:tabs>
        <w:spacing w:after="0" w:line="360" w:lineRule="auto"/>
        <w:ind w:firstLine="851"/>
        <w:jc w:val="both"/>
        <w:rPr>
          <w:lang w:val="es-MX"/>
        </w:rPr>
      </w:pPr>
      <w:r>
        <w:rPr>
          <w:b/>
          <w:lang w:val="es-MX"/>
        </w:rPr>
        <w:t xml:space="preserve">ATENTO: </w:t>
      </w:r>
      <w:r>
        <w:rPr>
          <w:lang w:val="es-MX"/>
        </w:rPr>
        <w:t xml:space="preserve">a lo precedentemente expuesto, a lo dispuesto por el </w:t>
      </w:r>
      <w:r w:rsidR="009A5B02">
        <w:rPr>
          <w:lang w:val="es-MX"/>
        </w:rPr>
        <w:t>A</w:t>
      </w:r>
      <w:r>
        <w:rPr>
          <w:lang w:val="es-MX"/>
        </w:rPr>
        <w:t>rtículo 211 Literal B) de la Constitución de la República y los Artículos 475 y 477 de la Ley 17.296;</w:t>
      </w:r>
    </w:p>
    <w:p w:rsidR="00E80A36" w:rsidRDefault="00E80A36" w:rsidP="009A5B02">
      <w:pPr>
        <w:keepNext/>
        <w:spacing w:after="0" w:line="360" w:lineRule="auto"/>
        <w:jc w:val="center"/>
        <w:outlineLvl w:val="0"/>
        <w:rPr>
          <w:b/>
          <w:szCs w:val="20"/>
          <w:lang w:val="es-MX"/>
        </w:rPr>
      </w:pPr>
      <w:r>
        <w:rPr>
          <w:b/>
          <w:szCs w:val="20"/>
          <w:lang w:val="es-MX"/>
        </w:rPr>
        <w:t>EL TRIBUNAL ACUERDA</w:t>
      </w:r>
    </w:p>
    <w:p w:rsidR="003413C9" w:rsidRPr="003413C9" w:rsidRDefault="009A5B02" w:rsidP="009A5B02">
      <w:pPr>
        <w:spacing w:after="0" w:line="360" w:lineRule="auto"/>
        <w:ind w:left="284" w:hanging="284"/>
        <w:jc w:val="both"/>
        <w:rPr>
          <w:bCs/>
          <w:lang w:val="es-MX"/>
        </w:rPr>
      </w:pPr>
      <w:r w:rsidRPr="009A5B02">
        <w:rPr>
          <w:b/>
          <w:lang w:val="es-MX"/>
        </w:rPr>
        <w:t>1)</w:t>
      </w:r>
      <w:r>
        <w:rPr>
          <w:lang w:val="es-MX"/>
        </w:rPr>
        <w:t xml:space="preserve"> </w:t>
      </w:r>
      <w:r w:rsidR="00E80A36">
        <w:rPr>
          <w:lang w:val="es-MX"/>
        </w:rPr>
        <w:t>Mantener la</w:t>
      </w:r>
      <w:r w:rsidR="00AA293F">
        <w:rPr>
          <w:lang w:val="es-MX"/>
        </w:rPr>
        <w:t xml:space="preserve"> observaci</w:t>
      </w:r>
      <w:r w:rsidR="0078594C">
        <w:rPr>
          <w:lang w:val="es-MX"/>
        </w:rPr>
        <w:t>ón</w:t>
      </w:r>
      <w:r w:rsidR="00E80A36">
        <w:rPr>
          <w:lang w:val="es-MX"/>
        </w:rPr>
        <w:t xml:space="preserve"> </w:t>
      </w:r>
      <w:r w:rsidR="008C2B97">
        <w:rPr>
          <w:lang w:val="es-MX"/>
        </w:rPr>
        <w:t>de fecha</w:t>
      </w:r>
      <w:r w:rsidR="008B43E3">
        <w:rPr>
          <w:lang w:val="es-MX"/>
        </w:rPr>
        <w:t xml:space="preserve"> </w:t>
      </w:r>
      <w:r w:rsidR="00B37DC2">
        <w:rPr>
          <w:lang w:val="es-MX"/>
        </w:rPr>
        <w:t>29</w:t>
      </w:r>
      <w:r w:rsidR="006F7F8B">
        <w:rPr>
          <w:lang w:val="es-MX"/>
        </w:rPr>
        <w:t>.1</w:t>
      </w:r>
      <w:r w:rsidR="00B37DC2">
        <w:rPr>
          <w:lang w:val="es-MX"/>
        </w:rPr>
        <w:t>0</w:t>
      </w:r>
      <w:r w:rsidR="006F7F8B">
        <w:rPr>
          <w:lang w:val="es-MX"/>
        </w:rPr>
        <w:t>.14</w:t>
      </w:r>
      <w:r w:rsidR="00672CF8">
        <w:rPr>
          <w:lang w:val="es-MX"/>
        </w:rPr>
        <w:t xml:space="preserve"> formulada por </w:t>
      </w:r>
      <w:r w:rsidR="00B37DC2">
        <w:rPr>
          <w:lang w:val="es-MX"/>
        </w:rPr>
        <w:t>el Tribunal de Cuentas</w:t>
      </w:r>
      <w:r w:rsidR="00EB0308">
        <w:rPr>
          <w:lang w:val="es-MX"/>
        </w:rPr>
        <w:t>;</w:t>
      </w:r>
    </w:p>
    <w:p w:rsidR="00E80A36" w:rsidRPr="00184EB6" w:rsidRDefault="009A5B02" w:rsidP="009A5B02">
      <w:pPr>
        <w:spacing w:after="0" w:line="360" w:lineRule="auto"/>
        <w:jc w:val="both"/>
        <w:rPr>
          <w:lang w:val="es-MX"/>
        </w:rPr>
      </w:pPr>
      <w:r w:rsidRPr="009A5B02">
        <w:rPr>
          <w:b/>
          <w:bCs/>
          <w:lang w:val="es-MX"/>
        </w:rPr>
        <w:t>2)</w:t>
      </w:r>
      <w:r>
        <w:rPr>
          <w:bCs/>
          <w:lang w:val="es-MX"/>
        </w:rPr>
        <w:t xml:space="preserve"> </w:t>
      </w:r>
      <w:r w:rsidR="00E80A36">
        <w:rPr>
          <w:bCs/>
          <w:lang w:val="es-MX"/>
        </w:rPr>
        <w:t>Comunicar a</w:t>
      </w:r>
      <w:r w:rsidR="006F7F8B">
        <w:rPr>
          <w:bCs/>
          <w:lang w:val="es-MX"/>
        </w:rPr>
        <w:t xml:space="preserve"> </w:t>
      </w:r>
      <w:r w:rsidR="004B20FF">
        <w:rPr>
          <w:bCs/>
          <w:lang w:val="es-MX"/>
        </w:rPr>
        <w:t>l</w:t>
      </w:r>
      <w:r w:rsidR="006F7F8B">
        <w:rPr>
          <w:bCs/>
          <w:lang w:val="es-MX"/>
        </w:rPr>
        <w:t>a</w:t>
      </w:r>
      <w:r w:rsidR="00E80A36">
        <w:rPr>
          <w:bCs/>
          <w:lang w:val="es-MX"/>
        </w:rPr>
        <w:t xml:space="preserve"> Contador</w:t>
      </w:r>
      <w:r w:rsidR="006F7F8B">
        <w:rPr>
          <w:bCs/>
          <w:lang w:val="es-MX"/>
        </w:rPr>
        <w:t>a</w:t>
      </w:r>
      <w:r w:rsidR="003413C9">
        <w:rPr>
          <w:bCs/>
          <w:lang w:val="es-MX"/>
        </w:rPr>
        <w:t xml:space="preserve"> Delegad</w:t>
      </w:r>
      <w:r w:rsidR="006F7F8B">
        <w:rPr>
          <w:bCs/>
          <w:lang w:val="es-MX"/>
        </w:rPr>
        <w:t>a</w:t>
      </w:r>
      <w:r w:rsidR="003413C9">
        <w:rPr>
          <w:bCs/>
          <w:lang w:val="es-MX"/>
        </w:rPr>
        <w:t xml:space="preserve"> y a la Intendencia de </w:t>
      </w:r>
      <w:r w:rsidR="00B37DC2">
        <w:rPr>
          <w:bCs/>
          <w:lang w:val="es-MX"/>
        </w:rPr>
        <w:t>Montevideo</w:t>
      </w:r>
      <w:r w:rsidR="00184EB6">
        <w:rPr>
          <w:bCs/>
          <w:lang w:val="es-MX"/>
        </w:rPr>
        <w:t>;</w:t>
      </w:r>
    </w:p>
    <w:p w:rsidR="00184EB6" w:rsidRDefault="009A5B02" w:rsidP="009A5B02">
      <w:pPr>
        <w:spacing w:after="0" w:line="360" w:lineRule="auto"/>
        <w:jc w:val="both"/>
        <w:rPr>
          <w:lang w:val="es-MX"/>
        </w:rPr>
      </w:pPr>
      <w:r w:rsidRPr="009A5B02">
        <w:rPr>
          <w:b/>
          <w:bCs/>
          <w:lang w:val="es-MX"/>
        </w:rPr>
        <w:t>3)</w:t>
      </w:r>
      <w:r>
        <w:rPr>
          <w:bCs/>
          <w:lang w:val="es-MX"/>
        </w:rPr>
        <w:t xml:space="preserve"> </w:t>
      </w:r>
      <w:r w:rsidR="00184EB6">
        <w:rPr>
          <w:bCs/>
          <w:lang w:val="es-MX"/>
        </w:rPr>
        <w:t>Dar cuenta a la J</w:t>
      </w:r>
      <w:r w:rsidR="004B20FF">
        <w:rPr>
          <w:bCs/>
          <w:lang w:val="es-MX"/>
        </w:rPr>
        <w:t>u</w:t>
      </w:r>
      <w:r w:rsidR="00B37DC2">
        <w:rPr>
          <w:bCs/>
          <w:lang w:val="es-MX"/>
        </w:rPr>
        <w:t>nta Departamental de Montevideo</w:t>
      </w:r>
      <w:r w:rsidR="00184EB6">
        <w:rPr>
          <w:bCs/>
          <w:lang w:val="es-MX"/>
        </w:rPr>
        <w:t>.</w:t>
      </w:r>
    </w:p>
    <w:p w:rsidR="009A5B02" w:rsidRPr="009A5B02" w:rsidRDefault="009A5B02" w:rsidP="009A5B02">
      <w:pPr>
        <w:spacing w:line="360" w:lineRule="auto"/>
        <w:jc w:val="both"/>
        <w:rPr>
          <w:lang w:val="es-MX"/>
        </w:rPr>
      </w:pPr>
      <w:proofErr w:type="spellStart"/>
      <w:proofErr w:type="gramStart"/>
      <w:r w:rsidRPr="009A5B02">
        <w:rPr>
          <w:lang w:val="es-MX"/>
        </w:rPr>
        <w:t>ag</w:t>
      </w:r>
      <w:proofErr w:type="spellEnd"/>
      <w:proofErr w:type="gramEnd"/>
    </w:p>
    <w:sectPr w:rsidR="009A5B02" w:rsidRPr="009A5B02" w:rsidSect="00E358F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679BD"/>
    <w:multiLevelType w:val="hybridMultilevel"/>
    <w:tmpl w:val="86B08E56"/>
    <w:lvl w:ilvl="0" w:tplc="0FC8A94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1E"/>
    <w:rsid w:val="00000716"/>
    <w:rsid w:val="000007CF"/>
    <w:rsid w:val="00061C32"/>
    <w:rsid w:val="000E6C99"/>
    <w:rsid w:val="001463DC"/>
    <w:rsid w:val="00147748"/>
    <w:rsid w:val="001679C8"/>
    <w:rsid w:val="00184EB6"/>
    <w:rsid w:val="001C7FCF"/>
    <w:rsid w:val="001D479B"/>
    <w:rsid w:val="001F0C06"/>
    <w:rsid w:val="00216002"/>
    <w:rsid w:val="00231A35"/>
    <w:rsid w:val="002B675B"/>
    <w:rsid w:val="003413C9"/>
    <w:rsid w:val="003D0DD4"/>
    <w:rsid w:val="003D2E33"/>
    <w:rsid w:val="00427946"/>
    <w:rsid w:val="004742B5"/>
    <w:rsid w:val="004B20FF"/>
    <w:rsid w:val="005142CF"/>
    <w:rsid w:val="00525D49"/>
    <w:rsid w:val="00570BE4"/>
    <w:rsid w:val="005861DC"/>
    <w:rsid w:val="00587AC0"/>
    <w:rsid w:val="005C5F52"/>
    <w:rsid w:val="005C67A1"/>
    <w:rsid w:val="005D4939"/>
    <w:rsid w:val="005F46AA"/>
    <w:rsid w:val="00617DE9"/>
    <w:rsid w:val="00624EDE"/>
    <w:rsid w:val="00630382"/>
    <w:rsid w:val="006427EE"/>
    <w:rsid w:val="006503EB"/>
    <w:rsid w:val="00672CF8"/>
    <w:rsid w:val="00677387"/>
    <w:rsid w:val="006D7746"/>
    <w:rsid w:val="006F2D1E"/>
    <w:rsid w:val="006F7F8B"/>
    <w:rsid w:val="007011E8"/>
    <w:rsid w:val="00711D44"/>
    <w:rsid w:val="007326AF"/>
    <w:rsid w:val="007368D2"/>
    <w:rsid w:val="007702BB"/>
    <w:rsid w:val="0078594C"/>
    <w:rsid w:val="007B2D4E"/>
    <w:rsid w:val="007D611D"/>
    <w:rsid w:val="007F482F"/>
    <w:rsid w:val="008165E3"/>
    <w:rsid w:val="00850C24"/>
    <w:rsid w:val="00866F4A"/>
    <w:rsid w:val="00871612"/>
    <w:rsid w:val="00872F8A"/>
    <w:rsid w:val="00882B9A"/>
    <w:rsid w:val="00896FF8"/>
    <w:rsid w:val="008A601B"/>
    <w:rsid w:val="008B43E3"/>
    <w:rsid w:val="008C2B97"/>
    <w:rsid w:val="008F3522"/>
    <w:rsid w:val="00914C54"/>
    <w:rsid w:val="009522CF"/>
    <w:rsid w:val="009A5B02"/>
    <w:rsid w:val="00A27117"/>
    <w:rsid w:val="00A44F36"/>
    <w:rsid w:val="00A51094"/>
    <w:rsid w:val="00A74571"/>
    <w:rsid w:val="00A74BD7"/>
    <w:rsid w:val="00A84BA2"/>
    <w:rsid w:val="00AA293F"/>
    <w:rsid w:val="00AF0C91"/>
    <w:rsid w:val="00B226E9"/>
    <w:rsid w:val="00B37DC2"/>
    <w:rsid w:val="00B45BB9"/>
    <w:rsid w:val="00B65482"/>
    <w:rsid w:val="00B97071"/>
    <w:rsid w:val="00BB33D3"/>
    <w:rsid w:val="00BD6976"/>
    <w:rsid w:val="00C24EA6"/>
    <w:rsid w:val="00C6027D"/>
    <w:rsid w:val="00C72E96"/>
    <w:rsid w:val="00C923B6"/>
    <w:rsid w:val="00CA5933"/>
    <w:rsid w:val="00CB0A50"/>
    <w:rsid w:val="00CB656E"/>
    <w:rsid w:val="00CE5D59"/>
    <w:rsid w:val="00CF3992"/>
    <w:rsid w:val="00D25277"/>
    <w:rsid w:val="00D42379"/>
    <w:rsid w:val="00D44604"/>
    <w:rsid w:val="00D504D3"/>
    <w:rsid w:val="00D62C7D"/>
    <w:rsid w:val="00DA1585"/>
    <w:rsid w:val="00DB0A54"/>
    <w:rsid w:val="00DE0BFE"/>
    <w:rsid w:val="00E141EF"/>
    <w:rsid w:val="00E17B3E"/>
    <w:rsid w:val="00E20998"/>
    <w:rsid w:val="00E358FA"/>
    <w:rsid w:val="00E80A36"/>
    <w:rsid w:val="00EB0308"/>
    <w:rsid w:val="00EB2B35"/>
    <w:rsid w:val="00ED210F"/>
    <w:rsid w:val="00F2019C"/>
    <w:rsid w:val="00F36687"/>
    <w:rsid w:val="00F742F9"/>
    <w:rsid w:val="00F9029F"/>
    <w:rsid w:val="00FB547C"/>
    <w:rsid w:val="00FE018F"/>
    <w:rsid w:val="00FE51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17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 </cp:lastModifiedBy>
  <cp:revision>9</cp:revision>
  <cp:lastPrinted>2015-03-03T13:46:00Z</cp:lastPrinted>
  <dcterms:created xsi:type="dcterms:W3CDTF">2015-02-27T14:55:00Z</dcterms:created>
  <dcterms:modified xsi:type="dcterms:W3CDTF">2015-04-07T19:41:00Z</dcterms:modified>
</cp:coreProperties>
</file>