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6C" w:rsidRPr="0009456C" w:rsidRDefault="0009456C" w:rsidP="0009456C">
      <w:pPr>
        <w:tabs>
          <w:tab w:val="center" w:pos="4253"/>
        </w:tabs>
        <w:suppressAutoHyphens/>
        <w:spacing w:after="0" w:line="240" w:lineRule="auto"/>
        <w:jc w:val="center"/>
        <w:rPr>
          <w:rFonts w:ascii="Arial" w:eastAsia="Calibri" w:hAnsi="Arial" w:cs="Arial"/>
          <w:b/>
          <w:sz w:val="24"/>
          <w:szCs w:val="24"/>
          <w:lang w:val="es-ES_tradnl"/>
        </w:rPr>
      </w:pPr>
      <w:r w:rsidRPr="0009456C">
        <w:rPr>
          <w:rFonts w:ascii="Arial" w:eastAsia="Calibri" w:hAnsi="Arial" w:cs="Arial"/>
          <w:b/>
          <w:sz w:val="24"/>
          <w:szCs w:val="24"/>
          <w:lang w:val="es-ES_tradnl"/>
        </w:rPr>
        <w:t>RESOLUCION ADOPTADA POR EL</w:t>
      </w:r>
    </w:p>
    <w:p w:rsidR="0009456C" w:rsidRPr="0009456C" w:rsidRDefault="0009456C" w:rsidP="0009456C">
      <w:pPr>
        <w:tabs>
          <w:tab w:val="left" w:pos="-720"/>
        </w:tabs>
        <w:suppressAutoHyphens/>
        <w:spacing w:after="0" w:line="240" w:lineRule="auto"/>
        <w:jc w:val="center"/>
        <w:rPr>
          <w:rFonts w:ascii="Arial" w:eastAsia="Calibri" w:hAnsi="Arial" w:cs="Arial"/>
          <w:b/>
          <w:sz w:val="24"/>
          <w:szCs w:val="24"/>
          <w:lang w:val="es-ES_tradnl"/>
        </w:rPr>
      </w:pPr>
    </w:p>
    <w:p w:rsidR="0009456C" w:rsidRPr="0009456C" w:rsidRDefault="0009456C" w:rsidP="0009456C">
      <w:pPr>
        <w:tabs>
          <w:tab w:val="center" w:pos="4253"/>
        </w:tabs>
        <w:suppressAutoHyphens/>
        <w:spacing w:after="0" w:line="240" w:lineRule="auto"/>
        <w:jc w:val="center"/>
        <w:rPr>
          <w:rFonts w:ascii="Arial" w:eastAsia="Calibri" w:hAnsi="Arial" w:cs="Arial"/>
          <w:b/>
          <w:sz w:val="24"/>
          <w:szCs w:val="24"/>
          <w:lang w:val="es-ES_tradnl"/>
        </w:rPr>
      </w:pPr>
      <w:r w:rsidRPr="0009456C">
        <w:rPr>
          <w:rFonts w:ascii="Arial" w:eastAsia="Calibri" w:hAnsi="Arial" w:cs="Arial"/>
          <w:b/>
          <w:sz w:val="24"/>
          <w:szCs w:val="24"/>
          <w:lang w:val="es-ES_tradnl"/>
        </w:rPr>
        <w:t>TRIBUNAL DE CUENTAS</w:t>
      </w:r>
    </w:p>
    <w:p w:rsidR="0009456C" w:rsidRPr="0009456C" w:rsidRDefault="0009456C" w:rsidP="0009456C">
      <w:pPr>
        <w:tabs>
          <w:tab w:val="left" w:pos="-720"/>
        </w:tabs>
        <w:suppressAutoHyphens/>
        <w:spacing w:after="0" w:line="240" w:lineRule="auto"/>
        <w:jc w:val="center"/>
        <w:rPr>
          <w:rFonts w:ascii="Arial" w:eastAsia="Calibri" w:hAnsi="Arial" w:cs="Arial"/>
          <w:b/>
          <w:sz w:val="24"/>
          <w:szCs w:val="24"/>
          <w:lang w:val="es-ES_tradnl"/>
        </w:rPr>
      </w:pPr>
    </w:p>
    <w:p w:rsidR="0009456C" w:rsidRPr="0009456C" w:rsidRDefault="0009456C" w:rsidP="0009456C">
      <w:pPr>
        <w:tabs>
          <w:tab w:val="center" w:pos="4253"/>
        </w:tabs>
        <w:suppressAutoHyphens/>
        <w:spacing w:after="0" w:line="240" w:lineRule="auto"/>
        <w:jc w:val="center"/>
        <w:rPr>
          <w:rFonts w:ascii="Arial" w:eastAsia="Calibri" w:hAnsi="Arial" w:cs="Arial"/>
          <w:b/>
          <w:sz w:val="24"/>
          <w:szCs w:val="24"/>
          <w:lang w:val="es-ES_tradnl"/>
        </w:rPr>
      </w:pPr>
      <w:r w:rsidRPr="0009456C">
        <w:rPr>
          <w:rFonts w:ascii="Arial" w:eastAsia="Calibri" w:hAnsi="Arial" w:cs="Arial"/>
          <w:b/>
          <w:sz w:val="24"/>
          <w:szCs w:val="24"/>
          <w:lang w:val="es-ES_tradnl"/>
        </w:rPr>
        <w:t>EN SESION DE FECHA 11 DE FEBRERO DE 2015</w:t>
      </w:r>
    </w:p>
    <w:p w:rsidR="0009456C" w:rsidRPr="0009456C" w:rsidRDefault="0009456C" w:rsidP="0009456C">
      <w:pPr>
        <w:tabs>
          <w:tab w:val="center" w:pos="4253"/>
        </w:tabs>
        <w:suppressAutoHyphens/>
        <w:spacing w:after="0" w:line="240" w:lineRule="auto"/>
        <w:jc w:val="center"/>
        <w:rPr>
          <w:rFonts w:ascii="Arial" w:eastAsia="Calibri" w:hAnsi="Arial" w:cs="Arial"/>
          <w:b/>
          <w:sz w:val="24"/>
          <w:szCs w:val="24"/>
          <w:lang w:val="es-ES_tradnl"/>
        </w:rPr>
      </w:pPr>
    </w:p>
    <w:p w:rsidR="0009456C" w:rsidRPr="00942B91" w:rsidRDefault="0009456C" w:rsidP="0009456C">
      <w:pPr>
        <w:tabs>
          <w:tab w:val="center" w:pos="4253"/>
        </w:tabs>
        <w:suppressAutoHyphens/>
        <w:spacing w:after="0" w:line="240" w:lineRule="auto"/>
        <w:jc w:val="center"/>
        <w:rPr>
          <w:rFonts w:ascii="Arial" w:eastAsia="Calibri" w:hAnsi="Arial" w:cs="Arial"/>
          <w:b/>
          <w:sz w:val="24"/>
          <w:szCs w:val="24"/>
          <w:lang w:val="es-ES_tradnl"/>
        </w:rPr>
      </w:pPr>
      <w:r w:rsidRPr="00942B91">
        <w:rPr>
          <w:rFonts w:ascii="Arial" w:eastAsia="Calibri" w:hAnsi="Arial" w:cs="Arial"/>
          <w:b/>
          <w:sz w:val="24"/>
          <w:szCs w:val="24"/>
          <w:lang w:val="es-ES_tradnl"/>
        </w:rPr>
        <w:t>(E. E. Nº 201</w:t>
      </w:r>
      <w:r w:rsidR="00942B91" w:rsidRPr="00942B91">
        <w:rPr>
          <w:rFonts w:ascii="Arial" w:eastAsia="Calibri" w:hAnsi="Arial" w:cs="Arial"/>
          <w:b/>
          <w:sz w:val="24"/>
          <w:szCs w:val="24"/>
          <w:lang w:val="es-ES_tradnl"/>
        </w:rPr>
        <w:t>3</w:t>
      </w:r>
      <w:r w:rsidRPr="00942B91">
        <w:rPr>
          <w:rFonts w:ascii="Arial" w:eastAsia="Calibri" w:hAnsi="Arial" w:cs="Arial"/>
          <w:b/>
          <w:sz w:val="24"/>
          <w:szCs w:val="24"/>
          <w:lang w:val="es-ES_tradnl"/>
        </w:rPr>
        <w:t>-17-1-000</w:t>
      </w:r>
      <w:r w:rsidR="00942B91">
        <w:rPr>
          <w:rFonts w:ascii="Arial" w:eastAsia="Calibri" w:hAnsi="Arial" w:cs="Arial"/>
          <w:b/>
          <w:sz w:val="24"/>
          <w:szCs w:val="24"/>
          <w:lang w:val="es-ES_tradnl"/>
        </w:rPr>
        <w:t>2599</w:t>
      </w:r>
      <w:r w:rsidRPr="00942B91">
        <w:rPr>
          <w:rFonts w:ascii="Arial" w:eastAsia="Calibri" w:hAnsi="Arial" w:cs="Arial"/>
          <w:b/>
          <w:sz w:val="24"/>
          <w:szCs w:val="24"/>
          <w:lang w:val="es-ES_tradnl"/>
        </w:rPr>
        <w:t xml:space="preserve">, </w:t>
      </w:r>
      <w:proofErr w:type="spellStart"/>
      <w:r w:rsidRPr="00942B91">
        <w:rPr>
          <w:rFonts w:ascii="Arial" w:eastAsia="Calibri" w:hAnsi="Arial" w:cs="Arial"/>
          <w:b/>
          <w:sz w:val="24"/>
          <w:szCs w:val="24"/>
          <w:lang w:val="es-ES_tradnl"/>
        </w:rPr>
        <w:t>Ent</w:t>
      </w:r>
      <w:proofErr w:type="spellEnd"/>
      <w:r w:rsidRPr="00942B91">
        <w:rPr>
          <w:rFonts w:ascii="Arial" w:eastAsia="Calibri" w:hAnsi="Arial" w:cs="Arial"/>
          <w:b/>
          <w:sz w:val="24"/>
          <w:szCs w:val="24"/>
          <w:lang w:val="es-ES_tradnl"/>
        </w:rPr>
        <w:t xml:space="preserve">. N° </w:t>
      </w:r>
      <w:r w:rsidR="00942B91">
        <w:rPr>
          <w:rFonts w:ascii="Arial" w:eastAsia="Calibri" w:hAnsi="Arial" w:cs="Arial"/>
          <w:b/>
          <w:sz w:val="24"/>
          <w:szCs w:val="24"/>
          <w:lang w:val="es-ES_tradnl"/>
        </w:rPr>
        <w:t>292</w:t>
      </w:r>
      <w:r w:rsidRPr="00942B91">
        <w:rPr>
          <w:rFonts w:ascii="Arial" w:eastAsia="Calibri" w:hAnsi="Arial" w:cs="Arial"/>
          <w:b/>
          <w:sz w:val="24"/>
          <w:szCs w:val="24"/>
          <w:lang w:val="es-ES_tradnl"/>
        </w:rPr>
        <w:t>/15)</w:t>
      </w:r>
    </w:p>
    <w:p w:rsidR="0009456C" w:rsidRDefault="0009456C" w:rsidP="0009456C">
      <w:pPr>
        <w:spacing w:after="0" w:line="240" w:lineRule="auto"/>
        <w:rPr>
          <w:rFonts w:eastAsia="Times New Roman"/>
          <w:lang w:val="es-MX" w:eastAsia="es-ES"/>
        </w:rPr>
      </w:pPr>
    </w:p>
    <w:p w:rsidR="00942B91" w:rsidRDefault="00942B91" w:rsidP="000D742D">
      <w:pPr>
        <w:spacing w:line="360" w:lineRule="auto"/>
        <w:jc w:val="both"/>
        <w:rPr>
          <w:rFonts w:ascii="Arial" w:hAnsi="Arial" w:cs="Arial"/>
          <w:b/>
          <w:sz w:val="24"/>
          <w:szCs w:val="24"/>
        </w:rPr>
      </w:pPr>
    </w:p>
    <w:p w:rsidR="000D742D" w:rsidRPr="00844A07" w:rsidRDefault="000D742D" w:rsidP="001261B0">
      <w:pPr>
        <w:spacing w:after="0" w:line="360" w:lineRule="auto"/>
        <w:ind w:firstLine="851"/>
        <w:jc w:val="both"/>
        <w:rPr>
          <w:rFonts w:ascii="Arial" w:hAnsi="Arial" w:cs="Arial"/>
          <w:sz w:val="24"/>
          <w:szCs w:val="24"/>
        </w:rPr>
      </w:pPr>
      <w:r w:rsidRPr="000D742D">
        <w:rPr>
          <w:rFonts w:ascii="Arial" w:hAnsi="Arial" w:cs="Arial"/>
          <w:b/>
          <w:sz w:val="24"/>
          <w:szCs w:val="24"/>
        </w:rPr>
        <w:t xml:space="preserve">VISTO: </w:t>
      </w:r>
      <w:r w:rsidRPr="000D742D">
        <w:rPr>
          <w:rFonts w:ascii="Arial" w:hAnsi="Arial" w:cs="Arial"/>
          <w:sz w:val="24"/>
          <w:szCs w:val="24"/>
        </w:rPr>
        <w:t xml:space="preserve">las actuaciones remitidas por la Administración de las Obras Sanitarias del Estado, </w:t>
      </w:r>
      <w:r w:rsidRPr="00844A07">
        <w:rPr>
          <w:rFonts w:ascii="Arial" w:hAnsi="Arial" w:cs="Arial"/>
          <w:sz w:val="24"/>
          <w:szCs w:val="24"/>
        </w:rPr>
        <w:t>relacionadas con la ampliación de la</w:t>
      </w:r>
      <w:r w:rsidR="00844A07" w:rsidRPr="00844A07">
        <w:rPr>
          <w:rFonts w:ascii="Arial" w:hAnsi="Arial" w:cs="Arial"/>
          <w:sz w:val="24"/>
          <w:szCs w:val="24"/>
        </w:rPr>
        <w:t xml:space="preserve"> </w:t>
      </w:r>
      <w:r w:rsidR="00844A07">
        <w:rPr>
          <w:rFonts w:ascii="Arial" w:hAnsi="Arial" w:cs="Arial"/>
          <w:sz w:val="24"/>
          <w:szCs w:val="24"/>
        </w:rPr>
        <w:t>partida complementaria de un 10% en la Licitación Pública Internacional, relativo al Proyecto Sexta Línea de Bombeo – Sistema Metropolitano de Agua Potable de Montevideo</w:t>
      </w:r>
      <w:r w:rsidRPr="00844A07">
        <w:rPr>
          <w:rFonts w:ascii="Arial" w:hAnsi="Arial" w:cs="Arial"/>
          <w:sz w:val="24"/>
          <w:szCs w:val="24"/>
        </w:rPr>
        <w:t>;</w:t>
      </w:r>
    </w:p>
    <w:p w:rsidR="0062602E" w:rsidRPr="00747461" w:rsidRDefault="000D742D" w:rsidP="00760A5D">
      <w:pPr>
        <w:spacing w:after="0" w:line="360" w:lineRule="auto"/>
        <w:ind w:firstLine="851"/>
        <w:jc w:val="both"/>
        <w:rPr>
          <w:rFonts w:ascii="Arial" w:hAnsi="Arial" w:cs="Arial"/>
          <w:sz w:val="24"/>
          <w:szCs w:val="24"/>
        </w:rPr>
      </w:pPr>
      <w:r w:rsidRPr="000D742D">
        <w:rPr>
          <w:rFonts w:ascii="Arial" w:hAnsi="Arial" w:cs="Arial"/>
          <w:b/>
          <w:sz w:val="24"/>
          <w:szCs w:val="24"/>
        </w:rPr>
        <w:t>RESULTANDO: 1</w:t>
      </w:r>
      <w:r w:rsidRPr="0062602E">
        <w:rPr>
          <w:rFonts w:ascii="Arial" w:hAnsi="Arial" w:cs="Arial"/>
          <w:b/>
          <w:sz w:val="24"/>
          <w:szCs w:val="24"/>
        </w:rPr>
        <w:t>)</w:t>
      </w:r>
      <w:r w:rsidRPr="0062602E">
        <w:rPr>
          <w:rFonts w:ascii="Arial" w:hAnsi="Arial" w:cs="Arial"/>
          <w:sz w:val="24"/>
          <w:szCs w:val="24"/>
        </w:rPr>
        <w:t xml:space="preserve"> </w:t>
      </w:r>
      <w:r w:rsidR="00760A5D">
        <w:rPr>
          <w:rFonts w:ascii="Arial" w:hAnsi="Arial" w:cs="Arial"/>
          <w:sz w:val="24"/>
          <w:szCs w:val="24"/>
        </w:rPr>
        <w:t xml:space="preserve"> </w:t>
      </w:r>
      <w:r w:rsidRPr="0062602E">
        <w:rPr>
          <w:rFonts w:ascii="Arial" w:hAnsi="Arial" w:cs="Arial"/>
          <w:sz w:val="24"/>
          <w:szCs w:val="24"/>
        </w:rPr>
        <w:t xml:space="preserve">que por Resolución Nº </w:t>
      </w:r>
      <w:r w:rsidR="0062602E" w:rsidRPr="0062602E">
        <w:rPr>
          <w:rFonts w:ascii="Arial" w:hAnsi="Arial" w:cs="Arial"/>
          <w:sz w:val="24"/>
          <w:szCs w:val="24"/>
        </w:rPr>
        <w:t>1225</w:t>
      </w:r>
      <w:r w:rsidRPr="0062602E">
        <w:rPr>
          <w:rFonts w:ascii="Arial" w:hAnsi="Arial" w:cs="Arial"/>
          <w:sz w:val="24"/>
          <w:szCs w:val="24"/>
        </w:rPr>
        <w:t>/</w:t>
      </w:r>
      <w:r w:rsidR="0062602E" w:rsidRPr="0062602E">
        <w:rPr>
          <w:rFonts w:ascii="Arial" w:hAnsi="Arial" w:cs="Arial"/>
          <w:sz w:val="24"/>
          <w:szCs w:val="24"/>
        </w:rPr>
        <w:t>07</w:t>
      </w:r>
      <w:r w:rsidRPr="0062602E">
        <w:rPr>
          <w:rFonts w:ascii="Arial" w:hAnsi="Arial" w:cs="Arial"/>
          <w:sz w:val="24"/>
          <w:szCs w:val="24"/>
        </w:rPr>
        <w:t xml:space="preserve"> de fecha </w:t>
      </w:r>
      <w:r w:rsidR="0062602E" w:rsidRPr="0062602E">
        <w:rPr>
          <w:rFonts w:ascii="Arial" w:hAnsi="Arial" w:cs="Arial"/>
          <w:sz w:val="24"/>
          <w:szCs w:val="24"/>
        </w:rPr>
        <w:t>21</w:t>
      </w:r>
      <w:r w:rsidRPr="0062602E">
        <w:rPr>
          <w:rFonts w:ascii="Arial" w:hAnsi="Arial" w:cs="Arial"/>
          <w:sz w:val="24"/>
          <w:szCs w:val="24"/>
        </w:rPr>
        <w:t>.0</w:t>
      </w:r>
      <w:r w:rsidR="0062602E" w:rsidRPr="0062602E">
        <w:rPr>
          <w:rFonts w:ascii="Arial" w:hAnsi="Arial" w:cs="Arial"/>
          <w:sz w:val="24"/>
          <w:szCs w:val="24"/>
        </w:rPr>
        <w:t>8</w:t>
      </w:r>
      <w:r w:rsidRPr="0062602E">
        <w:rPr>
          <w:rFonts w:ascii="Arial" w:hAnsi="Arial" w:cs="Arial"/>
          <w:sz w:val="24"/>
          <w:szCs w:val="24"/>
        </w:rPr>
        <w:t>.</w:t>
      </w:r>
      <w:r w:rsidR="0062602E" w:rsidRPr="0062602E">
        <w:rPr>
          <w:rFonts w:ascii="Arial" w:hAnsi="Arial" w:cs="Arial"/>
          <w:sz w:val="24"/>
          <w:szCs w:val="24"/>
        </w:rPr>
        <w:t>07</w:t>
      </w:r>
      <w:r w:rsidRPr="0062602E">
        <w:rPr>
          <w:rFonts w:ascii="Arial" w:hAnsi="Arial" w:cs="Arial"/>
          <w:sz w:val="24"/>
          <w:szCs w:val="24"/>
        </w:rPr>
        <w:t xml:space="preserve">, </w:t>
      </w:r>
      <w:r w:rsidR="0062602E">
        <w:rPr>
          <w:rFonts w:ascii="Arial" w:hAnsi="Arial" w:cs="Arial"/>
          <w:sz w:val="24"/>
          <w:szCs w:val="24"/>
        </w:rPr>
        <w:t xml:space="preserve">se adjudicó a la empresa TEYMA URUGUAY SA la ejecución de los trabajos relativos al Proyecto Sexta Línea de Bombeo – Sistema Metropolitano de Agua Potable de Montevideo, correspondiente a la Licitación Pública Internacional </w:t>
      </w:r>
      <w:r w:rsidR="00760A5D">
        <w:rPr>
          <w:rFonts w:ascii="Arial" w:hAnsi="Arial" w:cs="Arial"/>
          <w:sz w:val="24"/>
          <w:szCs w:val="24"/>
        </w:rPr>
        <w:t xml:space="preserve">   </w:t>
      </w:r>
      <w:r w:rsidR="00C45DF4">
        <w:rPr>
          <w:rFonts w:ascii="Arial" w:hAnsi="Arial" w:cs="Arial"/>
          <w:sz w:val="24"/>
          <w:szCs w:val="24"/>
        </w:rPr>
        <w:t xml:space="preserve">                                                                                                                                                                                                                                                                                                                                                                                                                                                        </w:t>
      </w:r>
      <w:r w:rsidR="0062602E">
        <w:rPr>
          <w:rFonts w:ascii="Arial" w:hAnsi="Arial" w:cs="Arial"/>
          <w:sz w:val="24"/>
          <w:szCs w:val="24"/>
        </w:rPr>
        <w:t xml:space="preserve">N° 1337, previéndose la contratación de la obra básica, más una partida complementaria de un 10% para ajuste de proyecto ejecutivo </w:t>
      </w:r>
      <w:r w:rsidR="006627CF">
        <w:rPr>
          <w:rFonts w:ascii="Arial" w:hAnsi="Arial" w:cs="Arial"/>
          <w:sz w:val="24"/>
          <w:szCs w:val="24"/>
        </w:rPr>
        <w:t xml:space="preserve">y </w:t>
      </w:r>
      <w:r w:rsidR="0062602E">
        <w:rPr>
          <w:rFonts w:ascii="Arial" w:hAnsi="Arial" w:cs="Arial"/>
          <w:sz w:val="24"/>
          <w:szCs w:val="24"/>
        </w:rPr>
        <w:t xml:space="preserve">de otro 10% </w:t>
      </w:r>
      <w:r w:rsidR="006627CF">
        <w:rPr>
          <w:rFonts w:ascii="Arial" w:hAnsi="Arial" w:cs="Arial"/>
          <w:sz w:val="24"/>
          <w:szCs w:val="24"/>
        </w:rPr>
        <w:t xml:space="preserve">para </w:t>
      </w:r>
      <w:r w:rsidR="0062602E">
        <w:rPr>
          <w:rFonts w:ascii="Arial" w:hAnsi="Arial" w:cs="Arial"/>
          <w:sz w:val="24"/>
          <w:szCs w:val="24"/>
        </w:rPr>
        <w:t>imprevistos;</w:t>
      </w:r>
    </w:p>
    <w:p w:rsidR="000D742D" w:rsidRDefault="000D742D" w:rsidP="00E105C9">
      <w:pPr>
        <w:spacing w:after="0" w:line="360" w:lineRule="auto"/>
        <w:ind w:firstLine="2694"/>
        <w:jc w:val="both"/>
        <w:rPr>
          <w:rFonts w:ascii="Arial" w:hAnsi="Arial" w:cs="Arial"/>
          <w:sz w:val="24"/>
          <w:szCs w:val="24"/>
        </w:rPr>
      </w:pPr>
      <w:r w:rsidRPr="00747461">
        <w:rPr>
          <w:rFonts w:ascii="Arial" w:hAnsi="Arial" w:cs="Arial"/>
          <w:b/>
          <w:sz w:val="24"/>
          <w:szCs w:val="24"/>
        </w:rPr>
        <w:t>2)</w:t>
      </w:r>
      <w:r w:rsidRPr="00747461">
        <w:rPr>
          <w:rFonts w:ascii="Arial" w:hAnsi="Arial" w:cs="Arial"/>
          <w:sz w:val="24"/>
          <w:szCs w:val="24"/>
        </w:rPr>
        <w:t xml:space="preserve"> que este Tribunal en Sesión </w:t>
      </w:r>
      <w:r w:rsidRPr="000258BF">
        <w:rPr>
          <w:rFonts w:ascii="Arial" w:hAnsi="Arial" w:cs="Arial"/>
          <w:sz w:val="24"/>
          <w:szCs w:val="24"/>
        </w:rPr>
        <w:t xml:space="preserve">de fecha </w:t>
      </w:r>
      <w:r w:rsidR="00747461" w:rsidRPr="000258BF">
        <w:rPr>
          <w:rFonts w:ascii="Arial" w:hAnsi="Arial" w:cs="Arial"/>
          <w:sz w:val="24"/>
          <w:szCs w:val="24"/>
        </w:rPr>
        <w:t>10</w:t>
      </w:r>
      <w:r w:rsidRPr="000258BF">
        <w:rPr>
          <w:rFonts w:ascii="Arial" w:hAnsi="Arial" w:cs="Arial"/>
          <w:sz w:val="24"/>
          <w:szCs w:val="24"/>
        </w:rPr>
        <w:t xml:space="preserve"> de </w:t>
      </w:r>
      <w:r w:rsidR="00747461" w:rsidRPr="000258BF">
        <w:rPr>
          <w:rFonts w:ascii="Arial" w:hAnsi="Arial" w:cs="Arial"/>
          <w:sz w:val="24"/>
          <w:szCs w:val="24"/>
        </w:rPr>
        <w:t>octubre</w:t>
      </w:r>
      <w:r w:rsidRPr="000258BF">
        <w:rPr>
          <w:rFonts w:ascii="Arial" w:hAnsi="Arial" w:cs="Arial"/>
          <w:sz w:val="24"/>
          <w:szCs w:val="24"/>
        </w:rPr>
        <w:t xml:space="preserve"> de 20</w:t>
      </w:r>
      <w:r w:rsidR="00747461" w:rsidRPr="000258BF">
        <w:rPr>
          <w:rFonts w:ascii="Arial" w:hAnsi="Arial" w:cs="Arial"/>
          <w:sz w:val="24"/>
          <w:szCs w:val="24"/>
        </w:rPr>
        <w:t>07</w:t>
      </w:r>
      <w:r w:rsidRPr="000258BF">
        <w:rPr>
          <w:rFonts w:ascii="Arial" w:hAnsi="Arial" w:cs="Arial"/>
          <w:sz w:val="24"/>
          <w:szCs w:val="24"/>
        </w:rPr>
        <w:t xml:space="preserve">, observó el gasto </w:t>
      </w:r>
      <w:r w:rsidR="000258BF" w:rsidRPr="000258BF">
        <w:rPr>
          <w:rFonts w:ascii="Arial" w:hAnsi="Arial" w:cs="Arial"/>
          <w:sz w:val="24"/>
          <w:szCs w:val="24"/>
        </w:rPr>
        <w:t>por habérselo comprometido</w:t>
      </w:r>
      <w:r w:rsidR="000258BF">
        <w:rPr>
          <w:rFonts w:ascii="Arial" w:hAnsi="Arial" w:cs="Arial"/>
          <w:sz w:val="24"/>
          <w:szCs w:val="24"/>
        </w:rPr>
        <w:t xml:space="preserve"> sin contar con disponibilidad suficiente, en contravención a lo dispuest</w:t>
      </w:r>
      <w:r w:rsidR="00B136B4">
        <w:rPr>
          <w:rFonts w:ascii="Arial" w:hAnsi="Arial" w:cs="Arial"/>
          <w:sz w:val="24"/>
          <w:szCs w:val="24"/>
        </w:rPr>
        <w:t>o por el Artículo 15 del TOCAF</w:t>
      </w:r>
      <w:r w:rsidR="00710AA8">
        <w:rPr>
          <w:rFonts w:ascii="Arial" w:hAnsi="Arial" w:cs="Arial"/>
          <w:sz w:val="24"/>
          <w:szCs w:val="24"/>
        </w:rPr>
        <w:t>. Reiterado el gasto,</w:t>
      </w:r>
      <w:r w:rsidR="000258BF">
        <w:rPr>
          <w:rFonts w:ascii="Arial" w:hAnsi="Arial" w:cs="Arial"/>
          <w:sz w:val="24"/>
          <w:szCs w:val="24"/>
        </w:rPr>
        <w:t xml:space="preserve"> se mantuvo </w:t>
      </w:r>
      <w:r w:rsidR="000258BF" w:rsidRPr="00710AA8">
        <w:rPr>
          <w:rFonts w:ascii="Arial" w:hAnsi="Arial" w:cs="Arial"/>
          <w:sz w:val="24"/>
          <w:szCs w:val="24"/>
        </w:rPr>
        <w:t>la observación</w:t>
      </w:r>
      <w:r w:rsidR="00710AA8" w:rsidRPr="00710AA8">
        <w:rPr>
          <w:rFonts w:ascii="Arial" w:hAnsi="Arial" w:cs="Arial"/>
          <w:sz w:val="24"/>
          <w:szCs w:val="24"/>
        </w:rPr>
        <w:t>;</w:t>
      </w:r>
      <w:r w:rsidRPr="000258BF">
        <w:rPr>
          <w:rFonts w:ascii="Arial" w:hAnsi="Arial" w:cs="Arial"/>
          <w:sz w:val="24"/>
          <w:szCs w:val="24"/>
        </w:rPr>
        <w:t xml:space="preserve"> </w:t>
      </w:r>
    </w:p>
    <w:p w:rsidR="00C507B0" w:rsidRDefault="00C507B0" w:rsidP="00E105C9">
      <w:pPr>
        <w:spacing w:after="0" w:line="360" w:lineRule="auto"/>
        <w:ind w:firstLine="2694"/>
        <w:jc w:val="both"/>
        <w:rPr>
          <w:rFonts w:ascii="Arial" w:hAnsi="Arial" w:cs="Arial"/>
          <w:sz w:val="24"/>
          <w:szCs w:val="24"/>
        </w:rPr>
      </w:pPr>
      <w:r w:rsidRPr="00C507B0">
        <w:rPr>
          <w:rFonts w:ascii="Arial" w:hAnsi="Arial" w:cs="Arial"/>
          <w:b/>
          <w:sz w:val="24"/>
          <w:szCs w:val="24"/>
        </w:rPr>
        <w:t>3)</w:t>
      </w:r>
      <w:r>
        <w:rPr>
          <w:rFonts w:ascii="Arial" w:hAnsi="Arial" w:cs="Arial"/>
          <w:sz w:val="24"/>
          <w:szCs w:val="24"/>
        </w:rPr>
        <w:t xml:space="preserve"> que por Resolución N° 1523/07 de 17.10.07, el Directorio dispuso aumentar el anticipo financiero previsto en el Artículo 33 del Pliego de Condiciones que rigió el llamado, hasta la suma de U$S 10.000.000;</w:t>
      </w:r>
    </w:p>
    <w:p w:rsidR="00E105C9" w:rsidRDefault="00C507B0" w:rsidP="00E105C9">
      <w:pPr>
        <w:spacing w:after="0" w:line="360" w:lineRule="auto"/>
        <w:ind w:firstLine="2694"/>
        <w:jc w:val="both"/>
        <w:rPr>
          <w:rFonts w:ascii="Arial" w:hAnsi="Arial" w:cs="Arial"/>
          <w:sz w:val="24"/>
          <w:szCs w:val="24"/>
        </w:rPr>
      </w:pPr>
      <w:r w:rsidRPr="00C507B0">
        <w:rPr>
          <w:rFonts w:ascii="Arial" w:hAnsi="Arial" w:cs="Arial"/>
          <w:b/>
          <w:sz w:val="24"/>
          <w:szCs w:val="24"/>
        </w:rPr>
        <w:t>4)</w:t>
      </w:r>
      <w:r>
        <w:rPr>
          <w:rFonts w:ascii="Arial" w:hAnsi="Arial" w:cs="Arial"/>
          <w:sz w:val="24"/>
          <w:szCs w:val="24"/>
        </w:rPr>
        <w:t xml:space="preserve"> que este Tribunal, en Sesión de fecha 27.12.07, observó el pago en virtud de que: </w:t>
      </w:r>
    </w:p>
    <w:p w:rsidR="00D67212" w:rsidRDefault="00C507B0" w:rsidP="00E105C9">
      <w:pPr>
        <w:spacing w:after="0" w:line="360" w:lineRule="auto"/>
        <w:jc w:val="both"/>
        <w:rPr>
          <w:rFonts w:ascii="Arial" w:hAnsi="Arial" w:cs="Arial"/>
          <w:sz w:val="24"/>
          <w:szCs w:val="24"/>
        </w:rPr>
      </w:pPr>
      <w:r>
        <w:rPr>
          <w:rFonts w:ascii="Arial" w:hAnsi="Arial" w:cs="Arial"/>
          <w:sz w:val="24"/>
          <w:szCs w:val="24"/>
        </w:rPr>
        <w:lastRenderedPageBreak/>
        <w:t>a)</w:t>
      </w:r>
      <w:r w:rsidR="00FC6049">
        <w:rPr>
          <w:rFonts w:ascii="Arial" w:hAnsi="Arial" w:cs="Arial"/>
          <w:sz w:val="24"/>
          <w:szCs w:val="24"/>
        </w:rPr>
        <w:t xml:space="preserve"> el aumento del adelanto financiero a otorgar </w:t>
      </w:r>
      <w:r w:rsidR="00D67212">
        <w:rPr>
          <w:rFonts w:ascii="Arial" w:hAnsi="Arial" w:cs="Arial"/>
          <w:sz w:val="24"/>
          <w:szCs w:val="24"/>
        </w:rPr>
        <w:t xml:space="preserve">al adjudicatario en un porcentaje superior al 10% del precio total de la oferta, que representa aproximadamente el doble del importe que debería haberse abonado de aplicarse lo dispuesto en el Pliego, contraviene el Artículo 33 del Pliego de Condiciones; y </w:t>
      </w:r>
      <w:r w:rsidR="009858A8">
        <w:rPr>
          <w:rFonts w:ascii="Arial" w:hAnsi="Arial" w:cs="Arial"/>
          <w:sz w:val="24"/>
          <w:szCs w:val="24"/>
        </w:rPr>
        <w:t>b</w:t>
      </w:r>
      <w:r w:rsidR="00D67212">
        <w:rPr>
          <w:rFonts w:ascii="Arial" w:hAnsi="Arial" w:cs="Arial"/>
          <w:sz w:val="24"/>
          <w:szCs w:val="24"/>
        </w:rPr>
        <w:t>) la ampliación del porcentaje de adelanto financiero posterior al procedimiento cumplido y a la adjudicación no se ciñe al presupuesto habilitante para proceder a una modificación contractual, por ser un hecho superviniente que afecta la ecuación económico-financiera, invocando para el caso únicamente razones de buena Administración;</w:t>
      </w:r>
    </w:p>
    <w:p w:rsidR="00D67212" w:rsidRDefault="00D67212" w:rsidP="009858A8">
      <w:pPr>
        <w:spacing w:after="0" w:line="360" w:lineRule="auto"/>
        <w:ind w:firstLine="2694"/>
        <w:jc w:val="both"/>
        <w:rPr>
          <w:rFonts w:ascii="Arial" w:hAnsi="Arial" w:cs="Arial"/>
          <w:sz w:val="24"/>
          <w:szCs w:val="24"/>
        </w:rPr>
      </w:pPr>
      <w:r w:rsidRPr="00D67212">
        <w:rPr>
          <w:rFonts w:ascii="Arial" w:hAnsi="Arial" w:cs="Arial"/>
          <w:b/>
          <w:sz w:val="24"/>
          <w:szCs w:val="24"/>
        </w:rPr>
        <w:t>5)</w:t>
      </w:r>
      <w:r>
        <w:rPr>
          <w:rFonts w:ascii="Arial" w:hAnsi="Arial" w:cs="Arial"/>
          <w:sz w:val="24"/>
          <w:szCs w:val="24"/>
        </w:rPr>
        <w:t xml:space="preserve"> que promovida la ampliación del gasto por un 53%, este Tribunal </w:t>
      </w:r>
      <w:r w:rsidR="00F60B9C">
        <w:rPr>
          <w:rFonts w:ascii="Arial" w:hAnsi="Arial" w:cs="Arial"/>
          <w:sz w:val="24"/>
          <w:szCs w:val="24"/>
        </w:rPr>
        <w:t>en</w:t>
      </w:r>
      <w:r w:rsidR="009858A8">
        <w:rPr>
          <w:rFonts w:ascii="Arial" w:hAnsi="Arial" w:cs="Arial"/>
          <w:sz w:val="24"/>
          <w:szCs w:val="24"/>
        </w:rPr>
        <w:t xml:space="preserve"> S</w:t>
      </w:r>
      <w:r>
        <w:rPr>
          <w:rFonts w:ascii="Arial" w:hAnsi="Arial" w:cs="Arial"/>
          <w:sz w:val="24"/>
          <w:szCs w:val="24"/>
        </w:rPr>
        <w:t>esión de fecha 30.09.09, lo observó por contravenir el Artículo 15 del TOCAF. Reiterado, se mantuvo la observación de fecha 27.01.10;</w:t>
      </w:r>
    </w:p>
    <w:p w:rsidR="00980828" w:rsidRDefault="00C214DD" w:rsidP="009858A8">
      <w:pPr>
        <w:spacing w:after="0" w:line="360" w:lineRule="auto"/>
        <w:ind w:firstLine="2694"/>
        <w:jc w:val="both"/>
        <w:rPr>
          <w:rFonts w:ascii="Arial" w:hAnsi="Arial" w:cs="Arial"/>
          <w:sz w:val="24"/>
          <w:szCs w:val="24"/>
        </w:rPr>
      </w:pPr>
      <w:r w:rsidRPr="00C214DD">
        <w:rPr>
          <w:rFonts w:ascii="Arial" w:hAnsi="Arial" w:cs="Arial"/>
          <w:b/>
          <w:sz w:val="24"/>
          <w:szCs w:val="24"/>
        </w:rPr>
        <w:t>6)</w:t>
      </w:r>
      <w:r>
        <w:rPr>
          <w:rFonts w:ascii="Arial" w:hAnsi="Arial" w:cs="Arial"/>
          <w:sz w:val="24"/>
          <w:szCs w:val="24"/>
        </w:rPr>
        <w:t xml:space="preserve"> que por Resolución R/D N° 1264/11 de 24.08.11, el Directorio aprobó la ampliación del contrato resultante de los trabajos complementarios, que representa un 27% de la obra básica, por un total de U$S 2.325.082,02, Euros 38.074,80, Libras Esterlinas 10.496,25 y </w:t>
      </w:r>
      <w:r w:rsidR="003D1383">
        <w:rPr>
          <w:rFonts w:ascii="Arial" w:hAnsi="Arial" w:cs="Arial"/>
          <w:sz w:val="24"/>
          <w:szCs w:val="24"/>
        </w:rPr>
        <w:t xml:space="preserve">                    </w:t>
      </w:r>
      <w:r>
        <w:rPr>
          <w:rFonts w:ascii="Arial" w:hAnsi="Arial" w:cs="Arial"/>
          <w:sz w:val="24"/>
          <w:szCs w:val="24"/>
        </w:rPr>
        <w:t>$ 301.770.725,72, el que incluye suministros extranjeros y nacionales, gastos de internación al país, obras, leyes sociales, IVA, ajuste de proyecto ejecutivo, ajuste paramétrico y partida para mora por atrasos en los pagos;</w:t>
      </w:r>
    </w:p>
    <w:p w:rsidR="00C214DD" w:rsidRDefault="00647552" w:rsidP="001C4A30">
      <w:pPr>
        <w:spacing w:after="0" w:line="360" w:lineRule="auto"/>
        <w:ind w:firstLine="2694"/>
        <w:jc w:val="both"/>
        <w:rPr>
          <w:rFonts w:ascii="Arial" w:hAnsi="Arial" w:cs="Arial"/>
          <w:sz w:val="24"/>
          <w:szCs w:val="24"/>
        </w:rPr>
      </w:pPr>
      <w:r w:rsidRPr="003E67CE">
        <w:rPr>
          <w:rFonts w:ascii="Arial" w:hAnsi="Arial" w:cs="Arial"/>
          <w:b/>
          <w:sz w:val="24"/>
          <w:szCs w:val="24"/>
        </w:rPr>
        <w:t>7)</w:t>
      </w:r>
      <w:r>
        <w:rPr>
          <w:rFonts w:ascii="Arial" w:hAnsi="Arial" w:cs="Arial"/>
          <w:sz w:val="24"/>
          <w:szCs w:val="24"/>
        </w:rPr>
        <w:t xml:space="preserve"> que este Tribunal en </w:t>
      </w:r>
      <w:r w:rsidR="00F308C2">
        <w:rPr>
          <w:rFonts w:ascii="Arial" w:hAnsi="Arial" w:cs="Arial"/>
          <w:sz w:val="24"/>
          <w:szCs w:val="24"/>
        </w:rPr>
        <w:t>S</w:t>
      </w:r>
      <w:r>
        <w:rPr>
          <w:rFonts w:ascii="Arial" w:hAnsi="Arial" w:cs="Arial"/>
          <w:sz w:val="24"/>
          <w:szCs w:val="24"/>
        </w:rPr>
        <w:t xml:space="preserve">esión del 30.11.11 observó el gasto por contravenir el </w:t>
      </w:r>
      <w:r w:rsidR="001C4A30">
        <w:rPr>
          <w:rFonts w:ascii="Arial" w:hAnsi="Arial" w:cs="Arial"/>
          <w:sz w:val="24"/>
          <w:szCs w:val="24"/>
        </w:rPr>
        <w:t>A</w:t>
      </w:r>
      <w:r>
        <w:rPr>
          <w:rFonts w:ascii="Arial" w:hAnsi="Arial" w:cs="Arial"/>
          <w:sz w:val="24"/>
          <w:szCs w:val="24"/>
        </w:rPr>
        <w:t>rtículo 15 del TOCAF, al haberse comprometido el mismo sin que exista disponibilidad suficiente en el rubro de imputación contable. Reiterado el gasto por el monto total de la ampliación aprobado por Resolución R/D N° 1264/11 de 24.08.11, este Tribunal mantuvo la observación con fecha 15.02.12;</w:t>
      </w:r>
    </w:p>
    <w:p w:rsidR="002670A4" w:rsidRDefault="003E67CE" w:rsidP="00466E8C">
      <w:pPr>
        <w:spacing w:after="0" w:line="360" w:lineRule="auto"/>
        <w:ind w:firstLine="2694"/>
        <w:jc w:val="both"/>
        <w:rPr>
          <w:rFonts w:ascii="Arial" w:hAnsi="Arial" w:cs="Arial"/>
          <w:sz w:val="24"/>
          <w:szCs w:val="24"/>
        </w:rPr>
      </w:pPr>
      <w:r w:rsidRPr="00852FD8">
        <w:rPr>
          <w:rFonts w:ascii="Arial" w:hAnsi="Arial" w:cs="Arial"/>
          <w:b/>
          <w:sz w:val="24"/>
          <w:szCs w:val="24"/>
        </w:rPr>
        <w:t xml:space="preserve">8) </w:t>
      </w:r>
      <w:r w:rsidR="002A468A">
        <w:rPr>
          <w:rFonts w:ascii="Arial" w:hAnsi="Arial" w:cs="Arial"/>
          <w:sz w:val="24"/>
          <w:szCs w:val="24"/>
        </w:rPr>
        <w:t>que por Resolución de Directorio R/D N° 1506/12 de fecha 24.10.12, se dispuso aprobar la ampliación del crédito para ajuste paramétrico por un monto de $ 26.500.000 más IVA y aprobar asimismo</w:t>
      </w:r>
      <w:r w:rsidR="00BC3893">
        <w:rPr>
          <w:rFonts w:ascii="Arial" w:hAnsi="Arial" w:cs="Arial"/>
          <w:sz w:val="24"/>
          <w:szCs w:val="24"/>
        </w:rPr>
        <w:t xml:space="preserve"> </w:t>
      </w:r>
      <w:r w:rsidR="0021333E">
        <w:rPr>
          <w:rFonts w:ascii="Arial" w:hAnsi="Arial" w:cs="Arial"/>
          <w:sz w:val="24"/>
          <w:szCs w:val="24"/>
        </w:rPr>
        <w:t xml:space="preserve">una </w:t>
      </w:r>
      <w:r w:rsidR="0021333E">
        <w:rPr>
          <w:rFonts w:ascii="Arial" w:hAnsi="Arial" w:cs="Arial"/>
          <w:sz w:val="24"/>
          <w:szCs w:val="24"/>
        </w:rPr>
        <w:lastRenderedPageBreak/>
        <w:t xml:space="preserve">ampliación del crédito por concepto de mora por más U$S 1450, destinados a financiar los correspondientes Rubros en el marco de los trabajos autorizados para la obra contratada del </w:t>
      </w:r>
      <w:r w:rsidR="00042788">
        <w:rPr>
          <w:rFonts w:ascii="Arial" w:hAnsi="Arial" w:cs="Arial"/>
          <w:sz w:val="24"/>
          <w:szCs w:val="24"/>
        </w:rPr>
        <w:t>Pro</w:t>
      </w:r>
      <w:r w:rsidR="002670A4">
        <w:rPr>
          <w:rFonts w:ascii="Arial" w:hAnsi="Arial" w:cs="Arial"/>
          <w:sz w:val="24"/>
          <w:szCs w:val="24"/>
        </w:rPr>
        <w:t>yecto Sexta Línea de Bombeo;</w:t>
      </w:r>
    </w:p>
    <w:p w:rsidR="00042788" w:rsidRDefault="00042788" w:rsidP="00466E8C">
      <w:pPr>
        <w:spacing w:after="0" w:line="360" w:lineRule="auto"/>
        <w:ind w:firstLine="2694"/>
        <w:jc w:val="both"/>
        <w:rPr>
          <w:rFonts w:ascii="Arial" w:hAnsi="Arial" w:cs="Arial"/>
          <w:sz w:val="24"/>
          <w:szCs w:val="24"/>
        </w:rPr>
      </w:pPr>
      <w:r w:rsidRPr="00AC2B9F">
        <w:rPr>
          <w:rFonts w:ascii="Arial" w:hAnsi="Arial" w:cs="Arial"/>
          <w:b/>
          <w:sz w:val="24"/>
          <w:szCs w:val="24"/>
        </w:rPr>
        <w:t>9)</w:t>
      </w:r>
      <w:r>
        <w:rPr>
          <w:rFonts w:ascii="Arial" w:hAnsi="Arial" w:cs="Arial"/>
          <w:sz w:val="24"/>
          <w:szCs w:val="24"/>
        </w:rPr>
        <w:t xml:space="preserve"> que con fecha 22.11.12 el Departamento de Contabilidad Presupuestal efectuó imputación con cargo al Presupuesto de Compras 2011 vigente por prórroga automática sin disponibilidad en el Grupo 3 “Bienes de Uso” y en el 6 “Intereses y otros gastos de la deuda”;</w:t>
      </w:r>
    </w:p>
    <w:p w:rsidR="00042788" w:rsidRDefault="00042788" w:rsidP="005C6027">
      <w:pPr>
        <w:spacing w:after="0" w:line="360" w:lineRule="auto"/>
        <w:ind w:firstLine="2694"/>
        <w:jc w:val="both"/>
        <w:rPr>
          <w:rFonts w:ascii="Arial" w:hAnsi="Arial" w:cs="Arial"/>
          <w:sz w:val="24"/>
          <w:szCs w:val="24"/>
        </w:rPr>
      </w:pPr>
      <w:r w:rsidRPr="00B42078">
        <w:rPr>
          <w:rFonts w:ascii="Arial" w:hAnsi="Arial" w:cs="Arial"/>
          <w:b/>
          <w:sz w:val="24"/>
          <w:szCs w:val="24"/>
        </w:rPr>
        <w:t>10)</w:t>
      </w:r>
      <w:r>
        <w:rPr>
          <w:rFonts w:ascii="Arial" w:hAnsi="Arial" w:cs="Arial"/>
          <w:sz w:val="24"/>
          <w:szCs w:val="24"/>
        </w:rPr>
        <w:t xml:space="preserve"> que por Resolución de Directorio R/D N° 1697/12 de fecha 28.11.12 se dispuso reiterar ante la Contadora Delegada el compromiso del gasto, y aprobar un crédito complementario por concepto de mora por atraso en los pagos por $ 20.106,56 (más IVA) más U$S 261,48 (más IVA);</w:t>
      </w:r>
    </w:p>
    <w:p w:rsidR="0017596A" w:rsidRDefault="0017596A" w:rsidP="00ED7346">
      <w:pPr>
        <w:spacing w:after="0" w:line="360" w:lineRule="auto"/>
        <w:ind w:firstLine="2694"/>
        <w:jc w:val="both"/>
        <w:rPr>
          <w:rFonts w:ascii="Arial" w:hAnsi="Arial" w:cs="Arial"/>
          <w:sz w:val="24"/>
          <w:szCs w:val="24"/>
        </w:rPr>
      </w:pPr>
      <w:r w:rsidRPr="0017596A">
        <w:rPr>
          <w:rFonts w:ascii="Arial" w:hAnsi="Arial" w:cs="Arial"/>
          <w:b/>
          <w:sz w:val="24"/>
          <w:szCs w:val="24"/>
        </w:rPr>
        <w:t>11)</w:t>
      </w:r>
      <w:r>
        <w:rPr>
          <w:rFonts w:ascii="Arial" w:hAnsi="Arial" w:cs="Arial"/>
          <w:sz w:val="24"/>
          <w:szCs w:val="24"/>
        </w:rPr>
        <w:t xml:space="preserve"> que posteriormente, mediante Resolución de Directorio R/D N° 298/13 de fecha 20.03.13, se dispuso aprobar la ampliación del crédito por un monto total de $ 107.770.939 más el IVA correspondiente, que se compone de una partida de $ 105.670.939 (más el IVA correspondiente para el Rubro ajuste paramétrico y de una partida de $ 2.100.000 para cubrir ajuste de leyes sociales, destinados a la financiación total de los avances de obra);</w:t>
      </w:r>
    </w:p>
    <w:p w:rsidR="009956A5" w:rsidRPr="00D67212" w:rsidRDefault="0017596A" w:rsidP="00ED7346">
      <w:pPr>
        <w:spacing w:after="0" w:line="360" w:lineRule="auto"/>
        <w:ind w:firstLine="2694"/>
        <w:jc w:val="both"/>
        <w:rPr>
          <w:rFonts w:ascii="Arial" w:hAnsi="Arial" w:cs="Arial"/>
          <w:sz w:val="24"/>
          <w:szCs w:val="24"/>
        </w:rPr>
      </w:pPr>
      <w:r w:rsidRPr="0017596A">
        <w:rPr>
          <w:rFonts w:ascii="Arial" w:hAnsi="Arial" w:cs="Arial"/>
          <w:b/>
          <w:sz w:val="24"/>
          <w:szCs w:val="24"/>
        </w:rPr>
        <w:t>12)</w:t>
      </w:r>
      <w:r>
        <w:rPr>
          <w:rFonts w:ascii="Arial" w:hAnsi="Arial" w:cs="Arial"/>
          <w:sz w:val="24"/>
          <w:szCs w:val="24"/>
        </w:rPr>
        <w:t xml:space="preserve"> </w:t>
      </w:r>
      <w:r w:rsidR="00ED7346">
        <w:rPr>
          <w:rFonts w:ascii="Arial" w:hAnsi="Arial" w:cs="Arial"/>
          <w:sz w:val="24"/>
          <w:szCs w:val="24"/>
        </w:rPr>
        <w:t>que este Tribunal en S</w:t>
      </w:r>
      <w:r w:rsidR="009956A5">
        <w:rPr>
          <w:rFonts w:ascii="Arial" w:hAnsi="Arial" w:cs="Arial"/>
          <w:sz w:val="24"/>
          <w:szCs w:val="24"/>
        </w:rPr>
        <w:t xml:space="preserve">esión de fecha 26.06.13 observó el gasto </w:t>
      </w:r>
      <w:r w:rsidR="009956A5" w:rsidRPr="009956A5">
        <w:rPr>
          <w:rFonts w:ascii="Arial" w:hAnsi="Arial" w:cs="Arial"/>
          <w:sz w:val="24"/>
          <w:szCs w:val="24"/>
        </w:rPr>
        <w:t xml:space="preserve">por contravenir el </w:t>
      </w:r>
      <w:r w:rsidR="00ED7346">
        <w:rPr>
          <w:rFonts w:ascii="Arial" w:hAnsi="Arial" w:cs="Arial"/>
          <w:sz w:val="24"/>
          <w:szCs w:val="24"/>
        </w:rPr>
        <w:t>A</w:t>
      </w:r>
      <w:r w:rsidR="009956A5" w:rsidRPr="009956A5">
        <w:rPr>
          <w:rFonts w:ascii="Arial" w:hAnsi="Arial" w:cs="Arial"/>
          <w:sz w:val="24"/>
          <w:szCs w:val="24"/>
        </w:rPr>
        <w:t xml:space="preserve">rtículo 15 del TOCAF, al haberse comprometido el mismo sin que exista disponibilidad suficiente en </w:t>
      </w:r>
      <w:r w:rsidR="009956A5">
        <w:rPr>
          <w:rFonts w:ascii="Arial" w:hAnsi="Arial" w:cs="Arial"/>
          <w:sz w:val="24"/>
          <w:szCs w:val="24"/>
        </w:rPr>
        <w:t>el rubro de imputación contable</w:t>
      </w:r>
      <w:r w:rsidR="00B277FF">
        <w:rPr>
          <w:rFonts w:ascii="Arial" w:hAnsi="Arial" w:cs="Arial"/>
          <w:sz w:val="24"/>
          <w:szCs w:val="24"/>
        </w:rPr>
        <w:t xml:space="preserve">. Reiterado el gasto por Resolución R/D N° 861/13 de 19.07.13, este Tribunal </w:t>
      </w:r>
      <w:r w:rsidR="00B277FF" w:rsidRPr="0065041B">
        <w:rPr>
          <w:rFonts w:ascii="Arial" w:hAnsi="Arial" w:cs="Arial"/>
          <w:sz w:val="24"/>
          <w:szCs w:val="24"/>
        </w:rPr>
        <w:t xml:space="preserve">mantuvo la observación con fecha </w:t>
      </w:r>
      <w:r w:rsidR="0065041B" w:rsidRPr="0065041B">
        <w:rPr>
          <w:rFonts w:ascii="Arial" w:hAnsi="Arial" w:cs="Arial"/>
          <w:sz w:val="24"/>
          <w:szCs w:val="24"/>
        </w:rPr>
        <w:t>21.08.13</w:t>
      </w:r>
      <w:r w:rsidR="009956A5" w:rsidRPr="0065041B">
        <w:rPr>
          <w:rFonts w:ascii="Arial" w:hAnsi="Arial" w:cs="Arial"/>
          <w:sz w:val="24"/>
          <w:szCs w:val="24"/>
        </w:rPr>
        <w:t>;</w:t>
      </w:r>
    </w:p>
    <w:p w:rsidR="00ED7346" w:rsidRDefault="007C4ED5" w:rsidP="00ED7346">
      <w:pPr>
        <w:spacing w:after="0" w:line="360" w:lineRule="auto"/>
        <w:ind w:firstLine="2694"/>
        <w:jc w:val="both"/>
        <w:rPr>
          <w:rFonts w:ascii="Arial" w:hAnsi="Arial" w:cs="Arial"/>
          <w:sz w:val="24"/>
          <w:szCs w:val="24"/>
        </w:rPr>
      </w:pPr>
      <w:r w:rsidRPr="007C4ED5">
        <w:rPr>
          <w:rFonts w:ascii="Arial" w:hAnsi="Arial" w:cs="Arial"/>
          <w:b/>
          <w:sz w:val="24"/>
          <w:szCs w:val="24"/>
        </w:rPr>
        <w:t>1</w:t>
      </w:r>
      <w:r w:rsidR="00402AC5">
        <w:rPr>
          <w:rFonts w:ascii="Arial" w:hAnsi="Arial" w:cs="Arial"/>
          <w:b/>
          <w:sz w:val="24"/>
          <w:szCs w:val="24"/>
        </w:rPr>
        <w:t>3</w:t>
      </w:r>
      <w:r w:rsidR="004F2FB7" w:rsidRPr="004F2FB7">
        <w:rPr>
          <w:rFonts w:ascii="Arial" w:hAnsi="Arial" w:cs="Arial"/>
          <w:b/>
          <w:sz w:val="24"/>
          <w:szCs w:val="24"/>
        </w:rPr>
        <w:t>)</w:t>
      </w:r>
      <w:r w:rsidR="004F2FB7" w:rsidRPr="004F2FB7">
        <w:rPr>
          <w:rFonts w:ascii="Arial" w:hAnsi="Arial" w:cs="Arial"/>
          <w:sz w:val="24"/>
          <w:szCs w:val="24"/>
        </w:rPr>
        <w:t xml:space="preserve"> que en esta oportunidad se remite Resolución </w:t>
      </w:r>
      <w:r w:rsidR="00ED7346">
        <w:rPr>
          <w:rFonts w:ascii="Arial" w:hAnsi="Arial" w:cs="Arial"/>
          <w:sz w:val="24"/>
          <w:szCs w:val="24"/>
        </w:rPr>
        <w:t xml:space="preserve">     </w:t>
      </w:r>
      <w:r w:rsidR="004F2FB7" w:rsidRPr="004F2FB7">
        <w:rPr>
          <w:rFonts w:ascii="Arial" w:hAnsi="Arial" w:cs="Arial"/>
          <w:sz w:val="24"/>
          <w:szCs w:val="24"/>
        </w:rPr>
        <w:t xml:space="preserve">Nº 1370/14 de fecha 12 de noviembre de 2014, por la que </w:t>
      </w:r>
      <w:r w:rsidR="004F2FB7">
        <w:rPr>
          <w:rFonts w:ascii="Arial" w:hAnsi="Arial" w:cs="Arial"/>
          <w:sz w:val="24"/>
          <w:szCs w:val="24"/>
        </w:rPr>
        <w:t xml:space="preserve">el Directorio de OSE resuelve: </w:t>
      </w:r>
    </w:p>
    <w:p w:rsidR="00ED7346" w:rsidRDefault="004F2FB7" w:rsidP="00ED7346">
      <w:pPr>
        <w:spacing w:after="0" w:line="360" w:lineRule="auto"/>
        <w:jc w:val="both"/>
        <w:rPr>
          <w:rFonts w:ascii="Arial" w:hAnsi="Arial" w:cs="Arial"/>
          <w:sz w:val="24"/>
          <w:szCs w:val="24"/>
        </w:rPr>
      </w:pPr>
      <w:r w:rsidRPr="004F2FB7">
        <w:rPr>
          <w:rFonts w:ascii="Arial" w:hAnsi="Arial" w:cs="Arial"/>
          <w:b/>
          <w:sz w:val="24"/>
          <w:szCs w:val="24"/>
        </w:rPr>
        <w:t>I)</w:t>
      </w:r>
      <w:r w:rsidRPr="004F2FB7">
        <w:rPr>
          <w:rFonts w:ascii="Arial" w:hAnsi="Arial" w:cs="Arial"/>
          <w:sz w:val="24"/>
          <w:szCs w:val="24"/>
        </w:rPr>
        <w:t xml:space="preserve"> autorizar la disminución del contrato por un monto de $ 78.100.205, monto básico más IVA, que fuese autorizado por R/D </w:t>
      </w:r>
      <w:proofErr w:type="spellStart"/>
      <w:r w:rsidRPr="004F2FB7">
        <w:rPr>
          <w:rFonts w:ascii="Arial" w:hAnsi="Arial" w:cs="Arial"/>
          <w:sz w:val="24"/>
          <w:szCs w:val="24"/>
        </w:rPr>
        <w:t>N°s</w:t>
      </w:r>
      <w:proofErr w:type="spellEnd"/>
      <w:r w:rsidRPr="004F2FB7">
        <w:rPr>
          <w:rFonts w:ascii="Arial" w:hAnsi="Arial" w:cs="Arial"/>
          <w:sz w:val="24"/>
          <w:szCs w:val="24"/>
        </w:rPr>
        <w:t xml:space="preserve"> 1225/07 de fecha 21/08/07, </w:t>
      </w:r>
      <w:r w:rsidRPr="004F2FB7">
        <w:rPr>
          <w:rFonts w:ascii="Arial" w:hAnsi="Arial" w:cs="Arial"/>
          <w:sz w:val="24"/>
          <w:szCs w:val="24"/>
        </w:rPr>
        <w:lastRenderedPageBreak/>
        <w:t xml:space="preserve">993/09 de fecha 29.07.09 y 1264/11 de fecha 24/08/11, lo que genera la desafectación de los saldos de pedidos asociados, de la obra Proyecto Sexta Línea de Bombeo, Licitación </w:t>
      </w:r>
      <w:r>
        <w:rPr>
          <w:rFonts w:ascii="Arial" w:hAnsi="Arial" w:cs="Arial"/>
          <w:sz w:val="24"/>
          <w:szCs w:val="24"/>
        </w:rPr>
        <w:t xml:space="preserve">Pública Internacional N° 1337; </w:t>
      </w:r>
    </w:p>
    <w:p w:rsidR="00ED7346" w:rsidRDefault="004F2FB7" w:rsidP="00ED7346">
      <w:pPr>
        <w:spacing w:after="0" w:line="360" w:lineRule="auto"/>
        <w:jc w:val="both"/>
        <w:rPr>
          <w:rFonts w:ascii="Arial" w:hAnsi="Arial" w:cs="Arial"/>
          <w:sz w:val="24"/>
          <w:szCs w:val="24"/>
        </w:rPr>
      </w:pPr>
      <w:r w:rsidRPr="004F2FB7">
        <w:rPr>
          <w:rFonts w:ascii="Arial" w:hAnsi="Arial" w:cs="Arial"/>
          <w:b/>
          <w:sz w:val="24"/>
          <w:szCs w:val="24"/>
        </w:rPr>
        <w:t>II)</w:t>
      </w:r>
      <w:r w:rsidRPr="004F2FB7">
        <w:rPr>
          <w:rFonts w:ascii="Arial" w:hAnsi="Arial" w:cs="Arial"/>
          <w:sz w:val="24"/>
          <w:szCs w:val="24"/>
        </w:rPr>
        <w:t xml:space="preserve"> autorizar la ampliación de obra por un total de $ 77.329.967,27, monto básico más IVA, destinada a la ejecución de los nuevos trabajos complementarios detallados </w:t>
      </w:r>
      <w:r>
        <w:rPr>
          <w:rFonts w:ascii="Arial" w:hAnsi="Arial" w:cs="Arial"/>
          <w:sz w:val="24"/>
          <w:szCs w:val="24"/>
        </w:rPr>
        <w:t>en los Re</w:t>
      </w:r>
      <w:r w:rsidR="00050DCB">
        <w:rPr>
          <w:rFonts w:ascii="Arial" w:hAnsi="Arial" w:cs="Arial"/>
          <w:sz w:val="24"/>
          <w:szCs w:val="24"/>
        </w:rPr>
        <w:t xml:space="preserve">sultandos VI y VII; </w:t>
      </w:r>
    </w:p>
    <w:p w:rsidR="00B661BB" w:rsidRDefault="00050DCB" w:rsidP="00ED7346">
      <w:pPr>
        <w:spacing w:after="0" w:line="360" w:lineRule="auto"/>
        <w:jc w:val="both"/>
        <w:rPr>
          <w:rFonts w:ascii="Arial" w:hAnsi="Arial" w:cs="Arial"/>
          <w:sz w:val="24"/>
          <w:szCs w:val="24"/>
        </w:rPr>
      </w:pPr>
      <w:r w:rsidRPr="00050DCB">
        <w:rPr>
          <w:rFonts w:ascii="Arial" w:hAnsi="Arial" w:cs="Arial"/>
          <w:b/>
          <w:sz w:val="24"/>
          <w:szCs w:val="24"/>
        </w:rPr>
        <w:t>III</w:t>
      </w:r>
      <w:r w:rsidR="004F2FB7" w:rsidRPr="00050DCB">
        <w:rPr>
          <w:rFonts w:ascii="Arial" w:hAnsi="Arial" w:cs="Arial"/>
          <w:b/>
          <w:sz w:val="24"/>
          <w:szCs w:val="24"/>
        </w:rPr>
        <w:t>)</w:t>
      </w:r>
      <w:r w:rsidR="004F2FB7" w:rsidRPr="004F2FB7">
        <w:rPr>
          <w:rFonts w:ascii="Arial" w:hAnsi="Arial" w:cs="Arial"/>
          <w:sz w:val="24"/>
          <w:szCs w:val="24"/>
        </w:rPr>
        <w:t xml:space="preserve"> autorizar asimismo un crédito complementario total p</w:t>
      </w:r>
      <w:r w:rsidR="0087349F">
        <w:rPr>
          <w:rFonts w:ascii="Arial" w:hAnsi="Arial" w:cs="Arial"/>
          <w:sz w:val="24"/>
          <w:szCs w:val="24"/>
        </w:rPr>
        <w:t xml:space="preserve">or la suma de </w:t>
      </w:r>
      <w:r w:rsidR="00ED7346">
        <w:rPr>
          <w:rFonts w:ascii="Arial" w:hAnsi="Arial" w:cs="Arial"/>
          <w:sz w:val="24"/>
          <w:szCs w:val="24"/>
        </w:rPr>
        <w:t xml:space="preserve">                   </w:t>
      </w:r>
      <w:r w:rsidR="0087349F">
        <w:rPr>
          <w:rFonts w:ascii="Arial" w:hAnsi="Arial" w:cs="Arial"/>
          <w:sz w:val="24"/>
          <w:szCs w:val="24"/>
        </w:rPr>
        <w:t xml:space="preserve">$ 301.346.804,48, </w:t>
      </w:r>
      <w:r w:rsidR="004F2FB7" w:rsidRPr="004F2FB7">
        <w:rPr>
          <w:rFonts w:ascii="Arial" w:hAnsi="Arial" w:cs="Arial"/>
          <w:sz w:val="24"/>
          <w:szCs w:val="24"/>
        </w:rPr>
        <w:t xml:space="preserve">destinado a financiar los trabajos </w:t>
      </w:r>
      <w:r w:rsidR="00D72FAB">
        <w:rPr>
          <w:rFonts w:ascii="Arial" w:hAnsi="Arial" w:cs="Arial"/>
          <w:sz w:val="24"/>
          <w:szCs w:val="24"/>
        </w:rPr>
        <w:t xml:space="preserve">mencionados en los </w:t>
      </w:r>
      <w:r w:rsidR="00D72FAB" w:rsidRPr="00D72FAB">
        <w:rPr>
          <w:rFonts w:ascii="Arial" w:hAnsi="Arial" w:cs="Arial"/>
          <w:sz w:val="24"/>
          <w:szCs w:val="24"/>
        </w:rPr>
        <w:t>R</w:t>
      </w:r>
      <w:r w:rsidR="004F2FB7" w:rsidRPr="00D72FAB">
        <w:rPr>
          <w:rFonts w:ascii="Arial" w:hAnsi="Arial" w:cs="Arial"/>
          <w:sz w:val="24"/>
          <w:szCs w:val="24"/>
        </w:rPr>
        <w:t>esultando</w:t>
      </w:r>
      <w:r w:rsidR="00D72FAB" w:rsidRPr="00D72FAB">
        <w:rPr>
          <w:rFonts w:ascii="Arial" w:hAnsi="Arial" w:cs="Arial"/>
          <w:sz w:val="24"/>
          <w:szCs w:val="24"/>
        </w:rPr>
        <w:t>s</w:t>
      </w:r>
      <w:r w:rsidR="004F2FB7" w:rsidRPr="00D72FAB">
        <w:rPr>
          <w:rFonts w:ascii="Arial" w:hAnsi="Arial" w:cs="Arial"/>
          <w:sz w:val="24"/>
          <w:szCs w:val="24"/>
        </w:rPr>
        <w:t xml:space="preserve"> VI </w:t>
      </w:r>
      <w:r w:rsidR="00D72FAB" w:rsidRPr="00D72FAB">
        <w:rPr>
          <w:rFonts w:ascii="Arial" w:hAnsi="Arial" w:cs="Arial"/>
          <w:sz w:val="24"/>
          <w:szCs w:val="24"/>
        </w:rPr>
        <w:t>y</w:t>
      </w:r>
      <w:r w:rsidR="004F2FB7" w:rsidRPr="00D72FAB">
        <w:rPr>
          <w:rFonts w:ascii="Arial" w:hAnsi="Arial" w:cs="Arial"/>
          <w:sz w:val="24"/>
          <w:szCs w:val="24"/>
        </w:rPr>
        <w:t xml:space="preserve"> VII</w:t>
      </w:r>
      <w:r w:rsidR="009B704C">
        <w:rPr>
          <w:rFonts w:ascii="Arial" w:hAnsi="Arial" w:cs="Arial"/>
          <w:sz w:val="24"/>
          <w:szCs w:val="24"/>
        </w:rPr>
        <w:t>,</w:t>
      </w:r>
      <w:r w:rsidR="004F2FB7" w:rsidRPr="004F2FB7">
        <w:rPr>
          <w:rFonts w:ascii="Arial" w:hAnsi="Arial" w:cs="Arial"/>
          <w:sz w:val="24"/>
          <w:szCs w:val="24"/>
        </w:rPr>
        <w:t xml:space="preserve"> así como las partidas necesarias para la etapa final</w:t>
      </w:r>
      <w:r w:rsidR="009B704C">
        <w:rPr>
          <w:rFonts w:ascii="Arial" w:hAnsi="Arial" w:cs="Arial"/>
          <w:sz w:val="24"/>
          <w:szCs w:val="24"/>
        </w:rPr>
        <w:t xml:space="preserve"> de las obras ya </w:t>
      </w:r>
      <w:r w:rsidR="009B704C" w:rsidRPr="009B704C">
        <w:rPr>
          <w:rFonts w:ascii="Arial" w:hAnsi="Arial" w:cs="Arial"/>
          <w:sz w:val="24"/>
          <w:szCs w:val="24"/>
        </w:rPr>
        <w:t xml:space="preserve">comprometidas </w:t>
      </w:r>
      <w:r w:rsidR="004F2FB7" w:rsidRPr="009B704C">
        <w:rPr>
          <w:rFonts w:ascii="Arial" w:hAnsi="Arial" w:cs="Arial"/>
          <w:sz w:val="24"/>
          <w:szCs w:val="24"/>
        </w:rPr>
        <w:t xml:space="preserve">según lo explicitado en </w:t>
      </w:r>
      <w:r w:rsidR="0004785A">
        <w:rPr>
          <w:rFonts w:ascii="Arial" w:hAnsi="Arial" w:cs="Arial"/>
          <w:sz w:val="24"/>
          <w:szCs w:val="24"/>
        </w:rPr>
        <w:t>R</w:t>
      </w:r>
      <w:r w:rsidR="004F2FB7" w:rsidRPr="009B704C">
        <w:rPr>
          <w:rFonts w:ascii="Arial" w:hAnsi="Arial" w:cs="Arial"/>
          <w:sz w:val="24"/>
          <w:szCs w:val="24"/>
        </w:rPr>
        <w:t>esultando 8, trabajos</w:t>
      </w:r>
      <w:r w:rsidR="004F2FB7" w:rsidRPr="004F2FB7">
        <w:rPr>
          <w:rFonts w:ascii="Arial" w:hAnsi="Arial" w:cs="Arial"/>
          <w:sz w:val="24"/>
          <w:szCs w:val="24"/>
        </w:rPr>
        <w:t xml:space="preserve"> cuya ejecución se realizará mediante el marco de la Licitación Pú</w:t>
      </w:r>
      <w:r w:rsidR="00386B4F">
        <w:rPr>
          <w:rFonts w:ascii="Arial" w:hAnsi="Arial" w:cs="Arial"/>
          <w:sz w:val="24"/>
          <w:szCs w:val="24"/>
        </w:rPr>
        <w:t xml:space="preserve">blica Internacional N° 1337; y </w:t>
      </w:r>
    </w:p>
    <w:p w:rsidR="004F2FB7" w:rsidRPr="000D742D" w:rsidRDefault="00386B4F" w:rsidP="00ED7346">
      <w:pPr>
        <w:spacing w:after="0" w:line="360" w:lineRule="auto"/>
        <w:jc w:val="both"/>
        <w:rPr>
          <w:rFonts w:ascii="Arial" w:hAnsi="Arial" w:cs="Arial"/>
          <w:sz w:val="24"/>
          <w:szCs w:val="24"/>
          <w:highlight w:val="yellow"/>
        </w:rPr>
      </w:pPr>
      <w:r w:rsidRPr="00386B4F">
        <w:rPr>
          <w:rFonts w:ascii="Arial" w:hAnsi="Arial" w:cs="Arial"/>
          <w:b/>
          <w:sz w:val="24"/>
          <w:szCs w:val="24"/>
        </w:rPr>
        <w:t>IV</w:t>
      </w:r>
      <w:r w:rsidR="004F2FB7" w:rsidRPr="00386B4F">
        <w:rPr>
          <w:rFonts w:ascii="Arial" w:hAnsi="Arial" w:cs="Arial"/>
          <w:b/>
          <w:sz w:val="24"/>
          <w:szCs w:val="24"/>
        </w:rPr>
        <w:t>)</w:t>
      </w:r>
      <w:r w:rsidR="004F2FB7" w:rsidRPr="004F2FB7">
        <w:rPr>
          <w:rFonts w:ascii="Arial" w:hAnsi="Arial" w:cs="Arial"/>
          <w:sz w:val="24"/>
          <w:szCs w:val="24"/>
        </w:rPr>
        <w:t xml:space="preserve"> autorizar la ejecución de l</w:t>
      </w:r>
      <w:r>
        <w:rPr>
          <w:rFonts w:ascii="Arial" w:hAnsi="Arial" w:cs="Arial"/>
          <w:sz w:val="24"/>
          <w:szCs w:val="24"/>
        </w:rPr>
        <w:t>os trabajos mencionados en los R</w:t>
      </w:r>
      <w:r w:rsidR="004F2FB7" w:rsidRPr="004F2FB7">
        <w:rPr>
          <w:rFonts w:ascii="Arial" w:hAnsi="Arial" w:cs="Arial"/>
          <w:sz w:val="24"/>
          <w:szCs w:val="24"/>
        </w:rPr>
        <w:t>esu</w:t>
      </w:r>
      <w:r w:rsidR="00653BDB">
        <w:rPr>
          <w:rFonts w:ascii="Arial" w:hAnsi="Arial" w:cs="Arial"/>
          <w:sz w:val="24"/>
          <w:szCs w:val="24"/>
        </w:rPr>
        <w:t>l</w:t>
      </w:r>
      <w:r w:rsidR="004F2FB7" w:rsidRPr="004F2FB7">
        <w:rPr>
          <w:rFonts w:ascii="Arial" w:hAnsi="Arial" w:cs="Arial"/>
          <w:sz w:val="24"/>
          <w:szCs w:val="24"/>
        </w:rPr>
        <w:t>ta</w:t>
      </w:r>
      <w:r w:rsidR="00653BDB">
        <w:rPr>
          <w:rFonts w:ascii="Arial" w:hAnsi="Arial" w:cs="Arial"/>
          <w:sz w:val="24"/>
          <w:szCs w:val="24"/>
        </w:rPr>
        <w:t>n</w:t>
      </w:r>
      <w:r w:rsidR="004F2FB7" w:rsidRPr="004F2FB7">
        <w:rPr>
          <w:rFonts w:ascii="Arial" w:hAnsi="Arial" w:cs="Arial"/>
          <w:sz w:val="24"/>
          <w:szCs w:val="24"/>
        </w:rPr>
        <w:t>dos 6 y 7 cuyo monto total asciende a la suma de $ 72.952.799,31 a precios básicos sin IVA;</w:t>
      </w:r>
    </w:p>
    <w:p w:rsidR="00AA6EC6" w:rsidRDefault="007C4ED5" w:rsidP="00B661BB">
      <w:pPr>
        <w:spacing w:after="0" w:line="360" w:lineRule="auto"/>
        <w:ind w:firstLine="2694"/>
        <w:jc w:val="both"/>
        <w:rPr>
          <w:rFonts w:ascii="Arial" w:hAnsi="Arial" w:cs="Arial"/>
          <w:sz w:val="24"/>
          <w:szCs w:val="24"/>
        </w:rPr>
      </w:pPr>
      <w:r w:rsidRPr="007C4ED5">
        <w:rPr>
          <w:rFonts w:ascii="Arial" w:hAnsi="Arial" w:cs="Arial"/>
          <w:b/>
          <w:sz w:val="24"/>
          <w:szCs w:val="24"/>
        </w:rPr>
        <w:t>1</w:t>
      </w:r>
      <w:r w:rsidR="00402AC5">
        <w:rPr>
          <w:rFonts w:ascii="Arial" w:hAnsi="Arial" w:cs="Arial"/>
          <w:b/>
          <w:sz w:val="24"/>
          <w:szCs w:val="24"/>
        </w:rPr>
        <w:t>4</w:t>
      </w:r>
      <w:r w:rsidR="000D742D" w:rsidRPr="009D2A99">
        <w:rPr>
          <w:rFonts w:ascii="Arial" w:hAnsi="Arial" w:cs="Arial"/>
          <w:b/>
          <w:sz w:val="24"/>
          <w:szCs w:val="24"/>
        </w:rPr>
        <w:t>)</w:t>
      </w:r>
      <w:r w:rsidR="000D742D" w:rsidRPr="00AF5921">
        <w:rPr>
          <w:rFonts w:ascii="Arial" w:hAnsi="Arial" w:cs="Arial"/>
          <w:sz w:val="24"/>
          <w:szCs w:val="24"/>
        </w:rPr>
        <w:t xml:space="preserve"> que</w:t>
      </w:r>
      <w:r w:rsidR="00AF5921">
        <w:rPr>
          <w:rFonts w:ascii="Arial" w:hAnsi="Arial" w:cs="Arial"/>
          <w:sz w:val="24"/>
          <w:szCs w:val="24"/>
        </w:rPr>
        <w:t xml:space="preserve"> del Resultando VI de la Resolución </w:t>
      </w:r>
      <w:r w:rsidR="005B1B11">
        <w:rPr>
          <w:rFonts w:ascii="Arial" w:hAnsi="Arial" w:cs="Arial"/>
          <w:sz w:val="24"/>
          <w:szCs w:val="24"/>
        </w:rPr>
        <w:t xml:space="preserve">               </w:t>
      </w:r>
      <w:r w:rsidR="00AF5921">
        <w:rPr>
          <w:rFonts w:ascii="Arial" w:hAnsi="Arial" w:cs="Arial"/>
          <w:sz w:val="24"/>
          <w:szCs w:val="24"/>
        </w:rPr>
        <w:t xml:space="preserve">N° </w:t>
      </w:r>
      <w:r w:rsidR="00A44E64" w:rsidRPr="00A44E64">
        <w:rPr>
          <w:rFonts w:ascii="Arial" w:hAnsi="Arial" w:cs="Arial"/>
          <w:sz w:val="24"/>
          <w:szCs w:val="24"/>
        </w:rPr>
        <w:t xml:space="preserve">1370/14 </w:t>
      </w:r>
      <w:r w:rsidR="002E4FE5">
        <w:rPr>
          <w:rFonts w:ascii="Arial" w:hAnsi="Arial" w:cs="Arial"/>
          <w:sz w:val="24"/>
          <w:szCs w:val="24"/>
        </w:rPr>
        <w:t xml:space="preserve">surge que del estado </w:t>
      </w:r>
      <w:r w:rsidR="00B31D2E">
        <w:rPr>
          <w:rFonts w:ascii="Arial" w:hAnsi="Arial" w:cs="Arial"/>
          <w:sz w:val="24"/>
          <w:szCs w:val="24"/>
        </w:rPr>
        <w:t xml:space="preserve">actual de estudio y de seguimiento </w:t>
      </w:r>
      <w:r w:rsidR="009D2A99">
        <w:rPr>
          <w:rFonts w:ascii="Arial" w:hAnsi="Arial" w:cs="Arial"/>
          <w:sz w:val="24"/>
          <w:szCs w:val="24"/>
        </w:rPr>
        <w:t xml:space="preserve">global del funcionamiento del Sistema Metropolitano, con la referida habilitación de las obras básicas y complementarias realizadas en el marco del contrato, trabajo avalado por parte del Grupo de </w:t>
      </w:r>
      <w:r w:rsidR="00A37E64">
        <w:rPr>
          <w:rFonts w:ascii="Arial" w:hAnsi="Arial" w:cs="Arial"/>
          <w:sz w:val="24"/>
          <w:szCs w:val="24"/>
        </w:rPr>
        <w:t>Dirección</w:t>
      </w:r>
      <w:r w:rsidR="009D2A99">
        <w:rPr>
          <w:rFonts w:ascii="Arial" w:hAnsi="Arial" w:cs="Arial"/>
          <w:sz w:val="24"/>
          <w:szCs w:val="24"/>
        </w:rPr>
        <w:t xml:space="preserve">, del Grupo Contraparte del Proyecto y de la Gerencia Técnica Metropolitana, con el fin de cumplir con las coberturas y mejoras continuas en las áreas de abastecimiento de agua potable del Sistema, </w:t>
      </w:r>
      <w:r w:rsidR="00A37E64">
        <w:rPr>
          <w:rFonts w:ascii="Arial" w:hAnsi="Arial" w:cs="Arial"/>
          <w:sz w:val="24"/>
          <w:szCs w:val="24"/>
        </w:rPr>
        <w:t xml:space="preserve">se ha identificado la necesidad de llevar adelante nuevos trabajos no previstos inicialmente, consistentes en: Construcción 1ra Línea de Bombeo Las Piedras, Construcciones de 3 tanques unidireccionales contra golpe de ariete con destino a las Troncales Cerro – </w:t>
      </w:r>
      <w:proofErr w:type="spellStart"/>
      <w:r w:rsidR="00A37E64">
        <w:rPr>
          <w:rFonts w:ascii="Arial" w:hAnsi="Arial" w:cs="Arial"/>
          <w:sz w:val="24"/>
          <w:szCs w:val="24"/>
        </w:rPr>
        <w:t>Cerri</w:t>
      </w:r>
      <w:proofErr w:type="spellEnd"/>
      <w:r w:rsidR="00A37E64">
        <w:rPr>
          <w:rFonts w:ascii="Arial" w:hAnsi="Arial" w:cs="Arial"/>
          <w:sz w:val="24"/>
          <w:szCs w:val="24"/>
        </w:rPr>
        <w:t xml:space="preserve"> de Emergencia y Troncal Cerrito, Proyecto Ejecutivo para protección contra golpe de ariete en Recalque de la 4ta Línea de Bombeo, Intercalado de válvulas en Troncal Paso del Andaluz, Obras complementarias para la construcción del Tanque del Cerro de Montevideo</w:t>
      </w:r>
      <w:r w:rsidR="000D742D" w:rsidRPr="00AF5921">
        <w:rPr>
          <w:rFonts w:ascii="Arial" w:hAnsi="Arial" w:cs="Arial"/>
          <w:sz w:val="24"/>
          <w:szCs w:val="24"/>
        </w:rPr>
        <w:t>;</w:t>
      </w:r>
    </w:p>
    <w:p w:rsidR="003F7A60" w:rsidRDefault="007C4ED5" w:rsidP="005071BA">
      <w:pPr>
        <w:spacing w:after="0" w:line="360" w:lineRule="auto"/>
        <w:ind w:firstLine="2694"/>
        <w:jc w:val="both"/>
        <w:rPr>
          <w:rFonts w:ascii="Arial" w:hAnsi="Arial" w:cs="Arial"/>
          <w:sz w:val="24"/>
          <w:szCs w:val="24"/>
        </w:rPr>
      </w:pPr>
      <w:r w:rsidRPr="007C4ED5">
        <w:rPr>
          <w:rFonts w:ascii="Arial" w:hAnsi="Arial" w:cs="Arial"/>
          <w:b/>
          <w:sz w:val="24"/>
          <w:szCs w:val="24"/>
        </w:rPr>
        <w:lastRenderedPageBreak/>
        <w:t>1</w:t>
      </w:r>
      <w:r w:rsidR="00402AC5">
        <w:rPr>
          <w:rFonts w:ascii="Arial" w:hAnsi="Arial" w:cs="Arial"/>
          <w:b/>
          <w:sz w:val="24"/>
          <w:szCs w:val="24"/>
        </w:rPr>
        <w:t>5</w:t>
      </w:r>
      <w:r w:rsidR="00AA6EC6" w:rsidRPr="00AA6EC6">
        <w:rPr>
          <w:rFonts w:ascii="Arial" w:hAnsi="Arial" w:cs="Arial"/>
          <w:b/>
          <w:sz w:val="24"/>
          <w:szCs w:val="24"/>
        </w:rPr>
        <w:t>)</w:t>
      </w:r>
      <w:r w:rsidR="00AA6EC6">
        <w:rPr>
          <w:rFonts w:ascii="Arial" w:hAnsi="Arial" w:cs="Arial"/>
          <w:sz w:val="24"/>
          <w:szCs w:val="24"/>
        </w:rPr>
        <w:t xml:space="preserve"> que del Resultando VII</w:t>
      </w:r>
      <w:r w:rsidR="00AA6EC6" w:rsidRPr="00AA6EC6">
        <w:t xml:space="preserve"> </w:t>
      </w:r>
      <w:r w:rsidR="00A44E64">
        <w:rPr>
          <w:rFonts w:ascii="Arial" w:hAnsi="Arial" w:cs="Arial"/>
          <w:sz w:val="24"/>
          <w:szCs w:val="24"/>
        </w:rPr>
        <w:t xml:space="preserve">de la Resolución </w:t>
      </w:r>
      <w:r w:rsidR="005071BA">
        <w:rPr>
          <w:rFonts w:ascii="Arial" w:hAnsi="Arial" w:cs="Arial"/>
          <w:sz w:val="24"/>
          <w:szCs w:val="24"/>
        </w:rPr>
        <w:t xml:space="preserve">              </w:t>
      </w:r>
      <w:r w:rsidR="00A44E64">
        <w:rPr>
          <w:rFonts w:ascii="Arial" w:hAnsi="Arial" w:cs="Arial"/>
          <w:sz w:val="24"/>
          <w:szCs w:val="24"/>
        </w:rPr>
        <w:t>N°</w:t>
      </w:r>
      <w:r w:rsidR="005071BA">
        <w:rPr>
          <w:rFonts w:ascii="Arial" w:hAnsi="Arial" w:cs="Arial"/>
          <w:sz w:val="24"/>
          <w:szCs w:val="24"/>
        </w:rPr>
        <w:t xml:space="preserve"> </w:t>
      </w:r>
      <w:r w:rsidR="00A44E64" w:rsidRPr="00A44E64">
        <w:rPr>
          <w:rFonts w:ascii="Arial" w:hAnsi="Arial" w:cs="Arial"/>
          <w:sz w:val="24"/>
          <w:szCs w:val="24"/>
        </w:rPr>
        <w:t xml:space="preserve">1370/14 </w:t>
      </w:r>
      <w:r w:rsidR="00AA6EC6" w:rsidRPr="00AA6EC6">
        <w:rPr>
          <w:rFonts w:ascii="Arial" w:hAnsi="Arial" w:cs="Arial"/>
          <w:sz w:val="24"/>
          <w:szCs w:val="24"/>
        </w:rPr>
        <w:t>surge que</w:t>
      </w:r>
      <w:r w:rsidR="00AA6EC6">
        <w:rPr>
          <w:rFonts w:ascii="Arial" w:hAnsi="Arial" w:cs="Arial"/>
          <w:sz w:val="24"/>
          <w:szCs w:val="24"/>
        </w:rPr>
        <w:t xml:space="preserve"> </w:t>
      </w:r>
      <w:r w:rsidR="0073032C">
        <w:rPr>
          <w:rFonts w:ascii="Arial" w:hAnsi="Arial" w:cs="Arial"/>
          <w:sz w:val="24"/>
          <w:szCs w:val="24"/>
        </w:rPr>
        <w:t xml:space="preserve">solicitadas al contratista las cotizaciones correspondientes para la ejecución de la última etapa de trabajo extraordinarios anteriormente mencionados, el presupuesto total asciende a la suma de </w:t>
      </w:r>
      <w:r w:rsidR="005071BA">
        <w:rPr>
          <w:rFonts w:ascii="Arial" w:hAnsi="Arial" w:cs="Arial"/>
          <w:sz w:val="24"/>
          <w:szCs w:val="24"/>
        </w:rPr>
        <w:t xml:space="preserve">             </w:t>
      </w:r>
      <w:r w:rsidR="0073032C">
        <w:rPr>
          <w:rFonts w:ascii="Arial" w:hAnsi="Arial" w:cs="Arial"/>
          <w:sz w:val="24"/>
          <w:szCs w:val="24"/>
        </w:rPr>
        <w:t>$ 72.952.799,31, monto a precios básicos, sin IVA, lo que determina la factibilidad de inclusión de éstos dentro de este marco contractual con los necesarios ajustes de las partidas de crédito para los diferentes rubros</w:t>
      </w:r>
      <w:r w:rsidR="00982BD6">
        <w:rPr>
          <w:rFonts w:ascii="Arial" w:hAnsi="Arial" w:cs="Arial"/>
          <w:sz w:val="24"/>
          <w:szCs w:val="24"/>
        </w:rPr>
        <w:t xml:space="preserve">. Además se prevé una partida del 6% para trabajos imprevistos, resultando necesario autorizar entonces una ampliación de obra por la suma total de </w:t>
      </w:r>
      <w:r w:rsidR="005071BA">
        <w:rPr>
          <w:rFonts w:ascii="Arial" w:hAnsi="Arial" w:cs="Arial"/>
          <w:sz w:val="24"/>
          <w:szCs w:val="24"/>
        </w:rPr>
        <w:t xml:space="preserve">           </w:t>
      </w:r>
      <w:r w:rsidR="00982BD6">
        <w:rPr>
          <w:rFonts w:ascii="Arial" w:hAnsi="Arial" w:cs="Arial"/>
          <w:sz w:val="24"/>
          <w:szCs w:val="24"/>
        </w:rPr>
        <w:t>$ 77.329.967,27, monto básico más IVA</w:t>
      </w:r>
      <w:r w:rsidR="00FC4A2A">
        <w:rPr>
          <w:rFonts w:ascii="Arial" w:hAnsi="Arial" w:cs="Arial"/>
          <w:sz w:val="24"/>
          <w:szCs w:val="24"/>
        </w:rPr>
        <w:t>;</w:t>
      </w:r>
    </w:p>
    <w:p w:rsidR="003F7A60" w:rsidRPr="003F7A60" w:rsidRDefault="007C4ED5" w:rsidP="005071BA">
      <w:pPr>
        <w:spacing w:after="0" w:line="360" w:lineRule="auto"/>
        <w:ind w:firstLine="2694"/>
        <w:jc w:val="both"/>
        <w:rPr>
          <w:rFonts w:ascii="Arial" w:hAnsi="Arial" w:cs="Arial"/>
          <w:sz w:val="24"/>
          <w:szCs w:val="24"/>
        </w:rPr>
      </w:pPr>
      <w:r w:rsidRPr="007C4ED5">
        <w:rPr>
          <w:rFonts w:ascii="Arial" w:hAnsi="Arial" w:cs="Arial"/>
          <w:b/>
          <w:sz w:val="24"/>
          <w:szCs w:val="24"/>
        </w:rPr>
        <w:t>1</w:t>
      </w:r>
      <w:r w:rsidR="00402AC5">
        <w:rPr>
          <w:rFonts w:ascii="Arial" w:hAnsi="Arial" w:cs="Arial"/>
          <w:b/>
          <w:sz w:val="24"/>
          <w:szCs w:val="24"/>
        </w:rPr>
        <w:t>6</w:t>
      </w:r>
      <w:r w:rsidR="003F7A60" w:rsidRPr="003F7A60">
        <w:rPr>
          <w:rFonts w:ascii="Arial" w:hAnsi="Arial" w:cs="Arial"/>
          <w:b/>
          <w:sz w:val="24"/>
          <w:szCs w:val="24"/>
        </w:rPr>
        <w:t xml:space="preserve">) </w:t>
      </w:r>
      <w:r w:rsidR="00985906" w:rsidRPr="00985906">
        <w:rPr>
          <w:rFonts w:ascii="Arial" w:hAnsi="Arial" w:cs="Arial"/>
          <w:sz w:val="24"/>
          <w:szCs w:val="24"/>
        </w:rPr>
        <w:t>que del Resultando VII</w:t>
      </w:r>
      <w:r w:rsidR="00985906">
        <w:rPr>
          <w:rFonts w:ascii="Arial" w:hAnsi="Arial" w:cs="Arial"/>
          <w:sz w:val="24"/>
          <w:szCs w:val="24"/>
        </w:rPr>
        <w:t>I</w:t>
      </w:r>
      <w:r w:rsidR="00985906" w:rsidRPr="00985906">
        <w:rPr>
          <w:rFonts w:ascii="Arial" w:hAnsi="Arial" w:cs="Arial"/>
          <w:sz w:val="24"/>
          <w:szCs w:val="24"/>
        </w:rPr>
        <w:t xml:space="preserve"> de la Resolución </w:t>
      </w:r>
      <w:r w:rsidR="005071BA">
        <w:rPr>
          <w:rFonts w:ascii="Arial" w:hAnsi="Arial" w:cs="Arial"/>
          <w:sz w:val="24"/>
          <w:szCs w:val="24"/>
        </w:rPr>
        <w:t xml:space="preserve">             </w:t>
      </w:r>
      <w:r w:rsidR="00985906" w:rsidRPr="00985906">
        <w:rPr>
          <w:rFonts w:ascii="Arial" w:hAnsi="Arial" w:cs="Arial"/>
          <w:sz w:val="24"/>
          <w:szCs w:val="24"/>
        </w:rPr>
        <w:t>N° 1370/14</w:t>
      </w:r>
      <w:r w:rsidR="00985906">
        <w:rPr>
          <w:rFonts w:ascii="Arial" w:hAnsi="Arial" w:cs="Arial"/>
          <w:sz w:val="24"/>
          <w:szCs w:val="24"/>
        </w:rPr>
        <w:t xml:space="preserve"> surge que realizado el balance general de los saldos de créditos por parte de la Dirección de la Obra para encarar estos trabajos, surge además la necesidad de ajustar las partidas para obras ya comprometidas y en etapa final de ejecución, correspondiente a los Rubros Ajustes de Precios por un monto de $ 40.000.000 sin IVA y Aportes Sociales por un monto de </w:t>
      </w:r>
      <w:r w:rsidR="005071BA">
        <w:rPr>
          <w:rFonts w:ascii="Arial" w:hAnsi="Arial" w:cs="Arial"/>
          <w:sz w:val="24"/>
          <w:szCs w:val="24"/>
        </w:rPr>
        <w:t xml:space="preserve">                    </w:t>
      </w:r>
      <w:r w:rsidR="00985906">
        <w:rPr>
          <w:rFonts w:ascii="Arial" w:hAnsi="Arial" w:cs="Arial"/>
          <w:sz w:val="24"/>
          <w:szCs w:val="24"/>
        </w:rPr>
        <w:t>$ 11.800.000, producto de variaciones paramétricas y de jornales que desde la fecha de inicio de los trabajos han evolucionado en valores crecientes a los valores previstos;</w:t>
      </w:r>
    </w:p>
    <w:p w:rsidR="00870F36" w:rsidRDefault="00870F36" w:rsidP="005071BA">
      <w:pPr>
        <w:spacing w:after="0" w:line="360" w:lineRule="auto"/>
        <w:ind w:firstLine="2694"/>
        <w:jc w:val="both"/>
        <w:rPr>
          <w:rFonts w:ascii="Arial" w:hAnsi="Arial" w:cs="Arial"/>
          <w:sz w:val="24"/>
          <w:szCs w:val="24"/>
        </w:rPr>
      </w:pPr>
      <w:r w:rsidRPr="00870F36">
        <w:rPr>
          <w:rFonts w:ascii="Arial" w:hAnsi="Arial" w:cs="Arial"/>
          <w:b/>
          <w:sz w:val="24"/>
          <w:szCs w:val="24"/>
        </w:rPr>
        <w:t>17)</w:t>
      </w:r>
      <w:r>
        <w:rPr>
          <w:rFonts w:ascii="Arial" w:hAnsi="Arial" w:cs="Arial"/>
          <w:sz w:val="24"/>
          <w:szCs w:val="24"/>
        </w:rPr>
        <w:t xml:space="preserve">  que el total de la erogación asciende a la suma de $ 301:346.804.48 que se compone de: $ 72:952.799,31 para obras extraordinarias; $ 4:377.167,96 para imprevistos; $ 142:848.856,47 para ajustes paramétricos; todos éstos montos más el IVA correspondiente y </w:t>
      </w:r>
      <w:r w:rsidR="005071BA">
        <w:rPr>
          <w:rFonts w:ascii="Arial" w:hAnsi="Arial" w:cs="Arial"/>
          <w:sz w:val="24"/>
          <w:szCs w:val="24"/>
        </w:rPr>
        <w:t xml:space="preserve">                 </w:t>
      </w:r>
      <w:r>
        <w:rPr>
          <w:rFonts w:ascii="Arial" w:hAnsi="Arial" w:cs="Arial"/>
          <w:sz w:val="24"/>
          <w:szCs w:val="24"/>
        </w:rPr>
        <w:t>$ 32:728.639,52 para aportes sociales;</w:t>
      </w:r>
    </w:p>
    <w:p w:rsidR="00870F36" w:rsidRDefault="00870F36" w:rsidP="000B38FA">
      <w:pPr>
        <w:spacing w:after="0" w:line="360" w:lineRule="auto"/>
        <w:ind w:firstLine="2694"/>
        <w:jc w:val="both"/>
        <w:rPr>
          <w:rFonts w:ascii="Arial" w:hAnsi="Arial" w:cs="Arial"/>
          <w:sz w:val="24"/>
          <w:szCs w:val="24"/>
        </w:rPr>
      </w:pPr>
      <w:r w:rsidRPr="00870F36">
        <w:rPr>
          <w:rFonts w:ascii="Arial" w:hAnsi="Arial" w:cs="Arial"/>
          <w:b/>
          <w:sz w:val="24"/>
          <w:szCs w:val="24"/>
        </w:rPr>
        <w:t>18</w:t>
      </w:r>
      <w:r>
        <w:rPr>
          <w:rFonts w:ascii="Arial" w:hAnsi="Arial" w:cs="Arial"/>
          <w:b/>
          <w:sz w:val="24"/>
          <w:szCs w:val="24"/>
        </w:rPr>
        <w:t xml:space="preserve">) </w:t>
      </w:r>
      <w:r>
        <w:rPr>
          <w:rFonts w:ascii="Arial" w:hAnsi="Arial" w:cs="Arial"/>
          <w:sz w:val="24"/>
          <w:szCs w:val="24"/>
        </w:rPr>
        <w:t xml:space="preserve"> </w:t>
      </w:r>
      <w:r w:rsidR="000D742D" w:rsidRPr="00D36BFB">
        <w:rPr>
          <w:rFonts w:ascii="Arial" w:hAnsi="Arial" w:cs="Arial"/>
          <w:sz w:val="24"/>
          <w:szCs w:val="24"/>
        </w:rPr>
        <w:t xml:space="preserve">que consta </w:t>
      </w:r>
      <w:r>
        <w:rPr>
          <w:rFonts w:ascii="Arial" w:hAnsi="Arial" w:cs="Arial"/>
          <w:sz w:val="24"/>
          <w:szCs w:val="24"/>
        </w:rPr>
        <w:t>informe de la C</w:t>
      </w:r>
      <w:r w:rsidR="00225701">
        <w:rPr>
          <w:rFonts w:ascii="Arial" w:hAnsi="Arial" w:cs="Arial"/>
          <w:sz w:val="24"/>
          <w:szCs w:val="24"/>
        </w:rPr>
        <w:t>ontado</w:t>
      </w:r>
      <w:r>
        <w:rPr>
          <w:rFonts w:ascii="Arial" w:hAnsi="Arial" w:cs="Arial"/>
          <w:sz w:val="24"/>
          <w:szCs w:val="24"/>
        </w:rPr>
        <w:t>ra Delegada de fecha 14 de enero de 2015</w:t>
      </w:r>
      <w:r w:rsidR="001D2FB0">
        <w:rPr>
          <w:rFonts w:ascii="Arial" w:hAnsi="Arial" w:cs="Arial"/>
          <w:sz w:val="24"/>
          <w:szCs w:val="24"/>
        </w:rPr>
        <w:t>,</w:t>
      </w:r>
      <w:r>
        <w:rPr>
          <w:rFonts w:ascii="Arial" w:hAnsi="Arial" w:cs="Arial"/>
          <w:sz w:val="24"/>
          <w:szCs w:val="24"/>
        </w:rPr>
        <w:t xml:space="preserve"> del que resulta</w:t>
      </w:r>
      <w:r w:rsidR="008E7E2E">
        <w:rPr>
          <w:rFonts w:ascii="Arial" w:hAnsi="Arial" w:cs="Arial"/>
          <w:sz w:val="24"/>
          <w:szCs w:val="24"/>
        </w:rPr>
        <w:t xml:space="preserve"> que rige para el Ejercicio 2015 el Presupuesto de Compras 2014 vigente por prórroga automática,</w:t>
      </w:r>
      <w:r w:rsidR="0055233E">
        <w:rPr>
          <w:rFonts w:ascii="Arial" w:hAnsi="Arial" w:cs="Arial"/>
          <w:sz w:val="24"/>
          <w:szCs w:val="24"/>
        </w:rPr>
        <w:t xml:space="preserve"> </w:t>
      </w:r>
      <w:r w:rsidR="008E7E2E">
        <w:rPr>
          <w:rFonts w:ascii="Arial" w:hAnsi="Arial" w:cs="Arial"/>
          <w:sz w:val="24"/>
          <w:szCs w:val="24"/>
        </w:rPr>
        <w:t>el cu</w:t>
      </w:r>
      <w:r w:rsidR="001D2FB0">
        <w:rPr>
          <w:rFonts w:ascii="Arial" w:hAnsi="Arial" w:cs="Arial"/>
          <w:sz w:val="24"/>
          <w:szCs w:val="24"/>
        </w:rPr>
        <w:t>a</w:t>
      </w:r>
      <w:r w:rsidR="008E7E2E">
        <w:rPr>
          <w:rFonts w:ascii="Arial" w:hAnsi="Arial" w:cs="Arial"/>
          <w:sz w:val="24"/>
          <w:szCs w:val="24"/>
        </w:rPr>
        <w:t>l presenta disponibilidad en el Grupo 3 “Bienes de Uso” por $ 220:178.824 más IV</w:t>
      </w:r>
      <w:r w:rsidR="0055233E">
        <w:rPr>
          <w:rFonts w:ascii="Arial" w:hAnsi="Arial" w:cs="Arial"/>
          <w:sz w:val="24"/>
          <w:szCs w:val="24"/>
        </w:rPr>
        <w:t>A</w:t>
      </w:r>
      <w:r w:rsidR="008E7E2E">
        <w:rPr>
          <w:rFonts w:ascii="Arial" w:hAnsi="Arial" w:cs="Arial"/>
          <w:sz w:val="24"/>
          <w:szCs w:val="24"/>
        </w:rPr>
        <w:t xml:space="preserve"> y $ 32:728.640 para cargas sociales;</w:t>
      </w:r>
    </w:p>
    <w:p w:rsidR="0055233E" w:rsidRDefault="000D742D" w:rsidP="000B38FA">
      <w:pPr>
        <w:spacing w:after="0" w:line="360" w:lineRule="auto"/>
        <w:ind w:firstLine="851"/>
        <w:jc w:val="both"/>
        <w:rPr>
          <w:rFonts w:ascii="Arial" w:hAnsi="Arial" w:cs="Arial"/>
          <w:sz w:val="24"/>
          <w:szCs w:val="24"/>
        </w:rPr>
      </w:pPr>
      <w:r w:rsidRPr="00D36BFB">
        <w:rPr>
          <w:rFonts w:ascii="Arial" w:hAnsi="Arial" w:cs="Arial"/>
          <w:sz w:val="24"/>
          <w:szCs w:val="24"/>
        </w:rPr>
        <w:lastRenderedPageBreak/>
        <w:t xml:space="preserve"> </w:t>
      </w:r>
      <w:r w:rsidRPr="006627CF">
        <w:rPr>
          <w:rFonts w:ascii="Arial" w:hAnsi="Arial" w:cs="Arial"/>
          <w:b/>
          <w:sz w:val="24"/>
          <w:szCs w:val="24"/>
        </w:rPr>
        <w:t xml:space="preserve">CONSIDERANDO: </w:t>
      </w:r>
      <w:r w:rsidR="0044183B">
        <w:rPr>
          <w:rFonts w:ascii="Arial" w:hAnsi="Arial" w:cs="Arial"/>
          <w:b/>
          <w:sz w:val="24"/>
          <w:szCs w:val="24"/>
        </w:rPr>
        <w:t xml:space="preserve">1) </w:t>
      </w:r>
      <w:r w:rsidRPr="006627CF">
        <w:rPr>
          <w:rFonts w:ascii="Arial" w:hAnsi="Arial" w:cs="Arial"/>
          <w:sz w:val="24"/>
          <w:szCs w:val="24"/>
        </w:rPr>
        <w:t xml:space="preserve">que la ampliación </w:t>
      </w:r>
      <w:r w:rsidR="0055233E">
        <w:rPr>
          <w:rFonts w:ascii="Arial" w:hAnsi="Arial" w:cs="Arial"/>
          <w:sz w:val="24"/>
          <w:szCs w:val="24"/>
        </w:rPr>
        <w:t>gestionada para la realización de los trabajos complementarios obedece a circunstancias objetivas que ameritan tal obrar;</w:t>
      </w:r>
    </w:p>
    <w:p w:rsidR="0044183B" w:rsidRPr="00B80857" w:rsidRDefault="000B38FA" w:rsidP="000B38FA">
      <w:pPr>
        <w:spacing w:after="0" w:line="360" w:lineRule="auto"/>
        <w:ind w:firstLine="2977"/>
        <w:jc w:val="both"/>
        <w:rPr>
          <w:rFonts w:ascii="Arial" w:hAnsi="Arial" w:cs="Arial"/>
          <w:sz w:val="24"/>
          <w:szCs w:val="24"/>
        </w:rPr>
      </w:pPr>
      <w:r>
        <w:rPr>
          <w:rFonts w:ascii="Arial" w:hAnsi="Arial" w:cs="Arial"/>
          <w:b/>
          <w:sz w:val="24"/>
          <w:szCs w:val="24"/>
        </w:rPr>
        <w:t xml:space="preserve"> </w:t>
      </w:r>
      <w:r w:rsidR="0055233E">
        <w:rPr>
          <w:rFonts w:ascii="Arial" w:hAnsi="Arial" w:cs="Arial"/>
          <w:b/>
          <w:sz w:val="24"/>
          <w:szCs w:val="24"/>
        </w:rPr>
        <w:t xml:space="preserve">2) </w:t>
      </w:r>
      <w:r w:rsidR="00B80857">
        <w:rPr>
          <w:rFonts w:ascii="Arial" w:hAnsi="Arial" w:cs="Arial"/>
          <w:sz w:val="24"/>
          <w:szCs w:val="24"/>
        </w:rPr>
        <w:t xml:space="preserve">que </w:t>
      </w:r>
      <w:r w:rsidR="005A6B60">
        <w:rPr>
          <w:rFonts w:ascii="Arial" w:hAnsi="Arial" w:cs="Arial"/>
          <w:sz w:val="24"/>
          <w:szCs w:val="24"/>
        </w:rPr>
        <w:t xml:space="preserve">los ajustes de precios </w:t>
      </w:r>
      <w:r w:rsidR="0055233E">
        <w:rPr>
          <w:rFonts w:ascii="Arial" w:hAnsi="Arial" w:cs="Arial"/>
          <w:sz w:val="24"/>
          <w:szCs w:val="24"/>
        </w:rPr>
        <w:t xml:space="preserve">formulados </w:t>
      </w:r>
      <w:r w:rsidR="005A6B60">
        <w:rPr>
          <w:rFonts w:ascii="Arial" w:hAnsi="Arial" w:cs="Arial"/>
          <w:sz w:val="24"/>
          <w:szCs w:val="24"/>
        </w:rPr>
        <w:t xml:space="preserve">y </w:t>
      </w:r>
      <w:r w:rsidR="0055233E">
        <w:rPr>
          <w:rFonts w:ascii="Arial" w:hAnsi="Arial" w:cs="Arial"/>
          <w:sz w:val="24"/>
          <w:szCs w:val="24"/>
        </w:rPr>
        <w:t xml:space="preserve">los </w:t>
      </w:r>
      <w:r w:rsidR="005A6B60">
        <w:rPr>
          <w:rFonts w:ascii="Arial" w:hAnsi="Arial" w:cs="Arial"/>
          <w:sz w:val="24"/>
          <w:szCs w:val="24"/>
        </w:rPr>
        <w:t xml:space="preserve"> aportes sociales </w:t>
      </w:r>
      <w:r w:rsidR="0055233E">
        <w:rPr>
          <w:rFonts w:ascii="Arial" w:hAnsi="Arial" w:cs="Arial"/>
          <w:sz w:val="24"/>
          <w:szCs w:val="24"/>
        </w:rPr>
        <w:t xml:space="preserve">devengados </w:t>
      </w:r>
      <w:r w:rsidR="005A6B60">
        <w:rPr>
          <w:rFonts w:ascii="Arial" w:hAnsi="Arial" w:cs="Arial"/>
          <w:sz w:val="24"/>
          <w:szCs w:val="24"/>
        </w:rPr>
        <w:t>se hallan contemplados</w:t>
      </w:r>
      <w:r w:rsidR="0055233E">
        <w:rPr>
          <w:rFonts w:ascii="Arial" w:hAnsi="Arial" w:cs="Arial"/>
          <w:sz w:val="24"/>
          <w:szCs w:val="24"/>
        </w:rPr>
        <w:t xml:space="preserve"> y regulados por lo establecido </w:t>
      </w:r>
      <w:r w:rsidR="005A6B60">
        <w:rPr>
          <w:rFonts w:ascii="Arial" w:hAnsi="Arial" w:cs="Arial"/>
          <w:sz w:val="24"/>
          <w:szCs w:val="24"/>
        </w:rPr>
        <w:t xml:space="preserve"> en </w:t>
      </w:r>
      <w:r w:rsidR="00170A3D">
        <w:rPr>
          <w:rFonts w:ascii="Arial" w:hAnsi="Arial" w:cs="Arial"/>
          <w:sz w:val="24"/>
          <w:szCs w:val="24"/>
        </w:rPr>
        <w:t xml:space="preserve">los </w:t>
      </w:r>
      <w:r>
        <w:rPr>
          <w:rFonts w:ascii="Arial" w:hAnsi="Arial" w:cs="Arial"/>
          <w:sz w:val="24"/>
          <w:szCs w:val="24"/>
        </w:rPr>
        <w:t>A</w:t>
      </w:r>
      <w:r w:rsidR="00170A3D">
        <w:rPr>
          <w:rFonts w:ascii="Arial" w:hAnsi="Arial" w:cs="Arial"/>
          <w:sz w:val="24"/>
          <w:szCs w:val="24"/>
        </w:rPr>
        <w:t>rtículos 35 y 36 del Pliego de Condiciones Particulares;</w:t>
      </w:r>
    </w:p>
    <w:p w:rsidR="000D742D" w:rsidRPr="00E10F54" w:rsidRDefault="000D742D" w:rsidP="000B38FA">
      <w:pPr>
        <w:spacing w:after="0" w:line="360" w:lineRule="auto"/>
        <w:ind w:firstLine="851"/>
        <w:jc w:val="both"/>
        <w:rPr>
          <w:rFonts w:ascii="Arial" w:hAnsi="Arial" w:cs="Arial"/>
          <w:sz w:val="24"/>
          <w:szCs w:val="24"/>
        </w:rPr>
      </w:pPr>
      <w:r w:rsidRPr="00E10F54">
        <w:rPr>
          <w:rFonts w:ascii="Arial" w:hAnsi="Arial" w:cs="Arial"/>
          <w:b/>
          <w:sz w:val="24"/>
          <w:szCs w:val="24"/>
        </w:rPr>
        <w:t>ATENTO:</w:t>
      </w:r>
      <w:r w:rsidRPr="00E10F54">
        <w:rPr>
          <w:rFonts w:ascii="Arial" w:hAnsi="Arial" w:cs="Arial"/>
          <w:sz w:val="24"/>
          <w:szCs w:val="24"/>
        </w:rPr>
        <w:t xml:space="preserve"> a lo expuesto precedentemente y a lo dispuesto por el </w:t>
      </w:r>
      <w:r w:rsidR="000B38FA">
        <w:rPr>
          <w:rFonts w:ascii="Arial" w:hAnsi="Arial" w:cs="Arial"/>
          <w:sz w:val="24"/>
          <w:szCs w:val="24"/>
        </w:rPr>
        <w:t>A</w:t>
      </w:r>
      <w:r w:rsidRPr="00E10F54">
        <w:rPr>
          <w:rFonts w:ascii="Arial" w:hAnsi="Arial" w:cs="Arial"/>
          <w:sz w:val="24"/>
          <w:szCs w:val="24"/>
        </w:rPr>
        <w:t>rt</w:t>
      </w:r>
      <w:r w:rsidR="000B38FA">
        <w:rPr>
          <w:rFonts w:ascii="Arial" w:hAnsi="Arial" w:cs="Arial"/>
          <w:sz w:val="24"/>
          <w:szCs w:val="24"/>
        </w:rPr>
        <w:t>ículo</w:t>
      </w:r>
      <w:r w:rsidRPr="00E10F54">
        <w:rPr>
          <w:rFonts w:ascii="Arial" w:hAnsi="Arial" w:cs="Arial"/>
          <w:sz w:val="24"/>
          <w:szCs w:val="24"/>
        </w:rPr>
        <w:t xml:space="preserve"> 211 </w:t>
      </w:r>
      <w:r w:rsidR="000B38FA">
        <w:rPr>
          <w:rFonts w:ascii="Arial" w:hAnsi="Arial" w:cs="Arial"/>
          <w:sz w:val="24"/>
          <w:szCs w:val="24"/>
        </w:rPr>
        <w:t>L</w:t>
      </w:r>
      <w:r w:rsidRPr="00E10F54">
        <w:rPr>
          <w:rFonts w:ascii="Arial" w:hAnsi="Arial" w:cs="Arial"/>
          <w:sz w:val="24"/>
          <w:szCs w:val="24"/>
        </w:rPr>
        <w:t>it</w:t>
      </w:r>
      <w:r w:rsidR="000B38FA">
        <w:rPr>
          <w:rFonts w:ascii="Arial" w:hAnsi="Arial" w:cs="Arial"/>
          <w:sz w:val="24"/>
          <w:szCs w:val="24"/>
        </w:rPr>
        <w:t>eral</w:t>
      </w:r>
      <w:r w:rsidRPr="00E10F54">
        <w:rPr>
          <w:rFonts w:ascii="Arial" w:hAnsi="Arial" w:cs="Arial"/>
          <w:sz w:val="24"/>
          <w:szCs w:val="24"/>
        </w:rPr>
        <w:t xml:space="preserve"> </w:t>
      </w:r>
      <w:r w:rsidR="000B38FA">
        <w:rPr>
          <w:rFonts w:ascii="Arial" w:hAnsi="Arial" w:cs="Arial"/>
          <w:sz w:val="24"/>
          <w:szCs w:val="24"/>
        </w:rPr>
        <w:t>B</w:t>
      </w:r>
      <w:r w:rsidRPr="00E10F54">
        <w:rPr>
          <w:rFonts w:ascii="Arial" w:hAnsi="Arial" w:cs="Arial"/>
          <w:sz w:val="24"/>
          <w:szCs w:val="24"/>
        </w:rPr>
        <w:t>) de la</w:t>
      </w:r>
      <w:r w:rsidR="00E10F54">
        <w:rPr>
          <w:rFonts w:ascii="Arial" w:hAnsi="Arial" w:cs="Arial"/>
          <w:sz w:val="24"/>
          <w:szCs w:val="24"/>
        </w:rPr>
        <w:t xml:space="preserve"> Constitución de la Rep</w:t>
      </w:r>
      <w:r w:rsidR="00DA7A39">
        <w:rPr>
          <w:rFonts w:ascii="Arial" w:hAnsi="Arial" w:cs="Arial"/>
          <w:sz w:val="24"/>
          <w:szCs w:val="24"/>
        </w:rPr>
        <w:t>ú</w:t>
      </w:r>
      <w:r w:rsidR="00E10F54">
        <w:rPr>
          <w:rFonts w:ascii="Arial" w:hAnsi="Arial" w:cs="Arial"/>
          <w:sz w:val="24"/>
          <w:szCs w:val="24"/>
        </w:rPr>
        <w:t xml:space="preserve">blica; </w:t>
      </w:r>
    </w:p>
    <w:p w:rsidR="000D742D" w:rsidRPr="006627CF" w:rsidRDefault="000D742D" w:rsidP="001261B0">
      <w:pPr>
        <w:spacing w:after="0" w:line="360" w:lineRule="auto"/>
        <w:jc w:val="center"/>
        <w:rPr>
          <w:rFonts w:ascii="Arial" w:hAnsi="Arial" w:cs="Arial"/>
          <w:b/>
          <w:sz w:val="24"/>
          <w:szCs w:val="24"/>
        </w:rPr>
      </w:pPr>
      <w:r w:rsidRPr="006627CF">
        <w:rPr>
          <w:rFonts w:ascii="Arial" w:hAnsi="Arial" w:cs="Arial"/>
          <w:b/>
          <w:sz w:val="24"/>
          <w:szCs w:val="24"/>
        </w:rPr>
        <w:t>EL TRIBUNAL ACUERDA</w:t>
      </w:r>
    </w:p>
    <w:p w:rsidR="000D742D" w:rsidRPr="006627CF" w:rsidRDefault="00F54787" w:rsidP="001261B0">
      <w:pPr>
        <w:spacing w:after="0" w:line="360" w:lineRule="auto"/>
        <w:ind w:left="284" w:hanging="284"/>
        <w:jc w:val="both"/>
        <w:rPr>
          <w:rFonts w:ascii="Arial" w:hAnsi="Arial" w:cs="Arial"/>
          <w:sz w:val="24"/>
          <w:szCs w:val="24"/>
        </w:rPr>
      </w:pPr>
      <w:r w:rsidRPr="00F54787">
        <w:rPr>
          <w:rFonts w:ascii="Arial" w:hAnsi="Arial" w:cs="Arial"/>
          <w:b/>
          <w:sz w:val="24"/>
          <w:szCs w:val="24"/>
        </w:rPr>
        <w:t>1</w:t>
      </w:r>
      <w:r w:rsidR="000D742D" w:rsidRPr="00F54787">
        <w:rPr>
          <w:rFonts w:ascii="Arial" w:hAnsi="Arial" w:cs="Arial"/>
          <w:b/>
          <w:sz w:val="24"/>
          <w:szCs w:val="24"/>
        </w:rPr>
        <w:t>)</w:t>
      </w:r>
      <w:r w:rsidR="001261B0">
        <w:rPr>
          <w:rFonts w:ascii="Arial" w:hAnsi="Arial" w:cs="Arial"/>
          <w:sz w:val="24"/>
          <w:szCs w:val="24"/>
        </w:rPr>
        <w:t xml:space="preserve"> </w:t>
      </w:r>
      <w:r w:rsidR="000D742D" w:rsidRPr="006627CF">
        <w:rPr>
          <w:rFonts w:ascii="Arial" w:hAnsi="Arial" w:cs="Arial"/>
          <w:sz w:val="24"/>
          <w:szCs w:val="24"/>
        </w:rPr>
        <w:t>Cometer a la Contadora Delegada la intervención del gasto</w:t>
      </w:r>
      <w:r w:rsidR="006627CF" w:rsidRPr="006627CF">
        <w:rPr>
          <w:rFonts w:ascii="Arial" w:hAnsi="Arial" w:cs="Arial"/>
          <w:sz w:val="24"/>
          <w:szCs w:val="24"/>
        </w:rPr>
        <w:t xml:space="preserve">, </w:t>
      </w:r>
      <w:r w:rsidR="000D742D" w:rsidRPr="006627CF">
        <w:rPr>
          <w:rFonts w:ascii="Arial" w:hAnsi="Arial" w:cs="Arial"/>
          <w:sz w:val="24"/>
          <w:szCs w:val="24"/>
        </w:rPr>
        <w:t xml:space="preserve">una vez imputado el mismo al </w:t>
      </w:r>
      <w:r w:rsidR="00DA7A39">
        <w:rPr>
          <w:rFonts w:ascii="Arial" w:hAnsi="Arial" w:cs="Arial"/>
          <w:sz w:val="24"/>
          <w:szCs w:val="24"/>
        </w:rPr>
        <w:t>G</w:t>
      </w:r>
      <w:r w:rsidR="000D742D" w:rsidRPr="006627CF">
        <w:rPr>
          <w:rFonts w:ascii="Arial" w:hAnsi="Arial" w:cs="Arial"/>
          <w:sz w:val="24"/>
          <w:szCs w:val="24"/>
        </w:rPr>
        <w:t xml:space="preserve">rupo adecuado con disponibilidad suficiente; </w:t>
      </w:r>
    </w:p>
    <w:p w:rsidR="000D742D" w:rsidRPr="006627CF" w:rsidRDefault="00F54787" w:rsidP="001261B0">
      <w:pPr>
        <w:spacing w:after="0" w:line="360" w:lineRule="auto"/>
        <w:jc w:val="both"/>
        <w:rPr>
          <w:rFonts w:ascii="Arial" w:hAnsi="Arial" w:cs="Arial"/>
          <w:sz w:val="24"/>
          <w:szCs w:val="24"/>
        </w:rPr>
      </w:pPr>
      <w:r w:rsidRPr="00F54787">
        <w:rPr>
          <w:rFonts w:ascii="Arial" w:hAnsi="Arial" w:cs="Arial"/>
          <w:b/>
          <w:sz w:val="24"/>
          <w:szCs w:val="24"/>
        </w:rPr>
        <w:t>2</w:t>
      </w:r>
      <w:r w:rsidR="000D742D" w:rsidRPr="00F54787">
        <w:rPr>
          <w:rFonts w:ascii="Arial" w:hAnsi="Arial" w:cs="Arial"/>
          <w:b/>
          <w:sz w:val="24"/>
          <w:szCs w:val="24"/>
        </w:rPr>
        <w:t>)</w:t>
      </w:r>
      <w:r w:rsidR="001261B0">
        <w:rPr>
          <w:rFonts w:ascii="Arial" w:hAnsi="Arial" w:cs="Arial"/>
          <w:sz w:val="24"/>
          <w:szCs w:val="24"/>
        </w:rPr>
        <w:t xml:space="preserve"> </w:t>
      </w:r>
      <w:r w:rsidR="000D742D" w:rsidRPr="006627CF">
        <w:rPr>
          <w:rFonts w:ascii="Arial" w:hAnsi="Arial" w:cs="Arial"/>
          <w:sz w:val="24"/>
          <w:szCs w:val="24"/>
        </w:rPr>
        <w:t>Comunicar a la Contadora Delegada; y</w:t>
      </w:r>
    </w:p>
    <w:p w:rsidR="000D742D" w:rsidRPr="006627CF" w:rsidRDefault="00F54787" w:rsidP="001261B0">
      <w:pPr>
        <w:spacing w:after="0" w:line="360" w:lineRule="auto"/>
        <w:jc w:val="both"/>
        <w:rPr>
          <w:rFonts w:ascii="Arial" w:hAnsi="Arial" w:cs="Arial"/>
          <w:sz w:val="24"/>
          <w:szCs w:val="24"/>
        </w:rPr>
      </w:pPr>
      <w:r w:rsidRPr="00F54787">
        <w:rPr>
          <w:rFonts w:ascii="Arial" w:hAnsi="Arial" w:cs="Arial"/>
          <w:b/>
          <w:sz w:val="24"/>
          <w:szCs w:val="24"/>
        </w:rPr>
        <w:t>3</w:t>
      </w:r>
      <w:r w:rsidR="000D742D" w:rsidRPr="00F54787">
        <w:rPr>
          <w:rFonts w:ascii="Arial" w:hAnsi="Arial" w:cs="Arial"/>
          <w:b/>
          <w:sz w:val="24"/>
          <w:szCs w:val="24"/>
        </w:rPr>
        <w:t>)</w:t>
      </w:r>
      <w:r w:rsidR="001261B0">
        <w:rPr>
          <w:rFonts w:ascii="Arial" w:hAnsi="Arial" w:cs="Arial"/>
          <w:sz w:val="24"/>
          <w:szCs w:val="24"/>
        </w:rPr>
        <w:t xml:space="preserve"> </w:t>
      </w:r>
      <w:r w:rsidR="000D742D" w:rsidRPr="006627CF">
        <w:rPr>
          <w:rFonts w:ascii="Arial" w:hAnsi="Arial" w:cs="Arial"/>
          <w:sz w:val="24"/>
          <w:szCs w:val="24"/>
        </w:rPr>
        <w:t>Devolver las actuaciones.</w:t>
      </w:r>
    </w:p>
    <w:p w:rsidR="000D742D" w:rsidRDefault="000D742D" w:rsidP="001261B0">
      <w:pPr>
        <w:spacing w:after="0" w:line="360" w:lineRule="auto"/>
        <w:jc w:val="both"/>
        <w:rPr>
          <w:rFonts w:ascii="Arial" w:hAnsi="Arial" w:cs="Arial"/>
          <w:sz w:val="24"/>
          <w:szCs w:val="24"/>
          <w:highlight w:val="yellow"/>
        </w:rPr>
      </w:pPr>
    </w:p>
    <w:p w:rsidR="001261B0" w:rsidRDefault="001261B0" w:rsidP="001261B0">
      <w:pPr>
        <w:spacing w:after="0" w:line="360" w:lineRule="auto"/>
        <w:jc w:val="both"/>
        <w:rPr>
          <w:rFonts w:ascii="Arial" w:hAnsi="Arial" w:cs="Arial"/>
          <w:sz w:val="24"/>
          <w:szCs w:val="24"/>
          <w:highlight w:val="yellow"/>
        </w:rPr>
      </w:pPr>
    </w:p>
    <w:p w:rsidR="001261B0" w:rsidRPr="001261B0" w:rsidRDefault="001261B0" w:rsidP="001261B0">
      <w:pPr>
        <w:spacing w:after="0" w:line="360" w:lineRule="auto"/>
        <w:jc w:val="both"/>
        <w:rPr>
          <w:rFonts w:ascii="Arial" w:hAnsi="Arial" w:cs="Arial"/>
          <w:sz w:val="24"/>
          <w:szCs w:val="24"/>
        </w:rPr>
      </w:pPr>
      <w:proofErr w:type="spellStart"/>
      <w:proofErr w:type="gramStart"/>
      <w:r w:rsidRPr="001261B0">
        <w:rPr>
          <w:rFonts w:ascii="Arial" w:hAnsi="Arial" w:cs="Arial"/>
          <w:sz w:val="24"/>
          <w:szCs w:val="24"/>
        </w:rPr>
        <w:t>ag</w:t>
      </w:r>
      <w:bookmarkStart w:id="0" w:name="_GoBack"/>
      <w:bookmarkEnd w:id="0"/>
      <w:proofErr w:type="spellEnd"/>
      <w:proofErr w:type="gramEnd"/>
    </w:p>
    <w:sectPr w:rsidR="001261B0" w:rsidRPr="001261B0" w:rsidSect="00831FAE">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F4" w:rsidRDefault="00C45DF4" w:rsidP="008B3B67">
      <w:pPr>
        <w:spacing w:after="0" w:line="240" w:lineRule="auto"/>
      </w:pPr>
      <w:r>
        <w:separator/>
      </w:r>
    </w:p>
  </w:endnote>
  <w:endnote w:type="continuationSeparator" w:id="0">
    <w:p w:rsidR="00C45DF4" w:rsidRDefault="00C45DF4" w:rsidP="008B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98651"/>
      <w:docPartObj>
        <w:docPartGallery w:val="Page Numbers (Bottom of Page)"/>
        <w:docPartUnique/>
      </w:docPartObj>
    </w:sdtPr>
    <w:sdtEndPr/>
    <w:sdtContent>
      <w:p w:rsidR="005B1B11" w:rsidRDefault="005B1B11">
        <w:pPr>
          <w:pStyle w:val="Piedepgina"/>
          <w:jc w:val="center"/>
        </w:pPr>
        <w:r>
          <w:fldChar w:fldCharType="begin"/>
        </w:r>
        <w:r>
          <w:instrText>PAGE   \* MERGEFORMAT</w:instrText>
        </w:r>
        <w:r>
          <w:fldChar w:fldCharType="separate"/>
        </w:r>
        <w:r w:rsidR="00831FAE" w:rsidRPr="00831FAE">
          <w:rPr>
            <w:noProof/>
            <w:lang w:val="es-ES"/>
          </w:rPr>
          <w:t>6</w:t>
        </w:r>
        <w:r>
          <w:fldChar w:fldCharType="end"/>
        </w:r>
      </w:p>
    </w:sdtContent>
  </w:sdt>
  <w:p w:rsidR="00C45DF4" w:rsidRDefault="00C45D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F4" w:rsidRDefault="00C45DF4" w:rsidP="008B3B67">
      <w:pPr>
        <w:spacing w:after="0" w:line="240" w:lineRule="auto"/>
      </w:pPr>
      <w:r>
        <w:separator/>
      </w:r>
    </w:p>
  </w:footnote>
  <w:footnote w:type="continuationSeparator" w:id="0">
    <w:p w:rsidR="00C45DF4" w:rsidRDefault="00C45DF4" w:rsidP="008B3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2D"/>
    <w:rsid w:val="000258BF"/>
    <w:rsid w:val="00042788"/>
    <w:rsid w:val="0004785A"/>
    <w:rsid w:val="00050DCB"/>
    <w:rsid w:val="00072288"/>
    <w:rsid w:val="0009456C"/>
    <w:rsid w:val="000B38FA"/>
    <w:rsid w:val="000D742D"/>
    <w:rsid w:val="000E2791"/>
    <w:rsid w:val="000F43F0"/>
    <w:rsid w:val="001033CC"/>
    <w:rsid w:val="001261B0"/>
    <w:rsid w:val="00170A3D"/>
    <w:rsid w:val="0017596A"/>
    <w:rsid w:val="00182720"/>
    <w:rsid w:val="001A0A07"/>
    <w:rsid w:val="001B0F0C"/>
    <w:rsid w:val="001B484D"/>
    <w:rsid w:val="001C4A30"/>
    <w:rsid w:val="001D2FB0"/>
    <w:rsid w:val="00203EB4"/>
    <w:rsid w:val="0021333E"/>
    <w:rsid w:val="0021625D"/>
    <w:rsid w:val="00225701"/>
    <w:rsid w:val="002670A4"/>
    <w:rsid w:val="002A468A"/>
    <w:rsid w:val="002C7511"/>
    <w:rsid w:val="002D23CA"/>
    <w:rsid w:val="002E4FE5"/>
    <w:rsid w:val="002F1494"/>
    <w:rsid w:val="0036623D"/>
    <w:rsid w:val="00386B4F"/>
    <w:rsid w:val="003D1383"/>
    <w:rsid w:val="003E67CE"/>
    <w:rsid w:val="003F7A60"/>
    <w:rsid w:val="00401BDA"/>
    <w:rsid w:val="00402AC5"/>
    <w:rsid w:val="00425D21"/>
    <w:rsid w:val="0044183B"/>
    <w:rsid w:val="00454460"/>
    <w:rsid w:val="00466E8C"/>
    <w:rsid w:val="004A22AF"/>
    <w:rsid w:val="004F2FB7"/>
    <w:rsid w:val="005071BA"/>
    <w:rsid w:val="0055233E"/>
    <w:rsid w:val="005601E1"/>
    <w:rsid w:val="00570307"/>
    <w:rsid w:val="005A6B60"/>
    <w:rsid w:val="005B1B11"/>
    <w:rsid w:val="005B4A5F"/>
    <w:rsid w:val="005C6027"/>
    <w:rsid w:val="005D17B0"/>
    <w:rsid w:val="0062602E"/>
    <w:rsid w:val="00647552"/>
    <w:rsid w:val="0065041B"/>
    <w:rsid w:val="00653BDB"/>
    <w:rsid w:val="006627CF"/>
    <w:rsid w:val="00663390"/>
    <w:rsid w:val="00710AA8"/>
    <w:rsid w:val="0073032C"/>
    <w:rsid w:val="00747461"/>
    <w:rsid w:val="00760A5D"/>
    <w:rsid w:val="007C22BF"/>
    <w:rsid w:val="007C4ED5"/>
    <w:rsid w:val="007E51A3"/>
    <w:rsid w:val="00831FAE"/>
    <w:rsid w:val="00844A07"/>
    <w:rsid w:val="00852FD8"/>
    <w:rsid w:val="00870F36"/>
    <w:rsid w:val="0087349F"/>
    <w:rsid w:val="00884AB6"/>
    <w:rsid w:val="008B3B67"/>
    <w:rsid w:val="008E7E2E"/>
    <w:rsid w:val="00942B91"/>
    <w:rsid w:val="00980828"/>
    <w:rsid w:val="00982BD6"/>
    <w:rsid w:val="009858A8"/>
    <w:rsid w:val="00985906"/>
    <w:rsid w:val="009956A5"/>
    <w:rsid w:val="009A45FE"/>
    <w:rsid w:val="009B2BDE"/>
    <w:rsid w:val="009B704C"/>
    <w:rsid w:val="009D2A99"/>
    <w:rsid w:val="00A37E64"/>
    <w:rsid w:val="00A44E64"/>
    <w:rsid w:val="00A82B30"/>
    <w:rsid w:val="00AA6EC6"/>
    <w:rsid w:val="00AC2B9F"/>
    <w:rsid w:val="00AF5921"/>
    <w:rsid w:val="00B0742F"/>
    <w:rsid w:val="00B136B4"/>
    <w:rsid w:val="00B277FF"/>
    <w:rsid w:val="00B31D2E"/>
    <w:rsid w:val="00B3762C"/>
    <w:rsid w:val="00B42078"/>
    <w:rsid w:val="00B661BB"/>
    <w:rsid w:val="00B80857"/>
    <w:rsid w:val="00B9395C"/>
    <w:rsid w:val="00BB6DC3"/>
    <w:rsid w:val="00BC3893"/>
    <w:rsid w:val="00C214DD"/>
    <w:rsid w:val="00C45DF4"/>
    <w:rsid w:val="00C507B0"/>
    <w:rsid w:val="00C567F5"/>
    <w:rsid w:val="00D14C0D"/>
    <w:rsid w:val="00D36BFB"/>
    <w:rsid w:val="00D66E05"/>
    <w:rsid w:val="00D6705B"/>
    <w:rsid w:val="00D67212"/>
    <w:rsid w:val="00D72FAB"/>
    <w:rsid w:val="00DA7A39"/>
    <w:rsid w:val="00E105C9"/>
    <w:rsid w:val="00E10F54"/>
    <w:rsid w:val="00E20E9C"/>
    <w:rsid w:val="00EB1A4F"/>
    <w:rsid w:val="00ED7346"/>
    <w:rsid w:val="00F308C2"/>
    <w:rsid w:val="00F321A7"/>
    <w:rsid w:val="00F50B32"/>
    <w:rsid w:val="00F54787"/>
    <w:rsid w:val="00F60B9C"/>
    <w:rsid w:val="00F61059"/>
    <w:rsid w:val="00FC4A2A"/>
    <w:rsid w:val="00FC60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22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AF"/>
    <w:rPr>
      <w:rFonts w:ascii="Tahoma" w:hAnsi="Tahoma" w:cs="Tahoma"/>
      <w:sz w:val="16"/>
      <w:szCs w:val="16"/>
    </w:rPr>
  </w:style>
  <w:style w:type="paragraph" w:styleId="Encabezado">
    <w:name w:val="header"/>
    <w:basedOn w:val="Normal"/>
    <w:link w:val="EncabezadoCar"/>
    <w:uiPriority w:val="99"/>
    <w:unhideWhenUsed/>
    <w:rsid w:val="008B3B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3B67"/>
  </w:style>
  <w:style w:type="paragraph" w:styleId="Piedepgina">
    <w:name w:val="footer"/>
    <w:basedOn w:val="Normal"/>
    <w:link w:val="PiedepginaCar"/>
    <w:uiPriority w:val="99"/>
    <w:unhideWhenUsed/>
    <w:rsid w:val="008B3B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22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AF"/>
    <w:rPr>
      <w:rFonts w:ascii="Tahoma" w:hAnsi="Tahoma" w:cs="Tahoma"/>
      <w:sz w:val="16"/>
      <w:szCs w:val="16"/>
    </w:rPr>
  </w:style>
  <w:style w:type="paragraph" w:styleId="Encabezado">
    <w:name w:val="header"/>
    <w:basedOn w:val="Normal"/>
    <w:link w:val="EncabezadoCar"/>
    <w:uiPriority w:val="99"/>
    <w:unhideWhenUsed/>
    <w:rsid w:val="008B3B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3B67"/>
  </w:style>
  <w:style w:type="paragraph" w:styleId="Piedepgina">
    <w:name w:val="footer"/>
    <w:basedOn w:val="Normal"/>
    <w:link w:val="PiedepginaCar"/>
    <w:uiPriority w:val="99"/>
    <w:unhideWhenUsed/>
    <w:rsid w:val="008B3B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1591</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Bucero</dc:creator>
  <cp:lastModifiedBy>Tribunal1</cp:lastModifiedBy>
  <cp:revision>39</cp:revision>
  <cp:lastPrinted>2015-02-13T16:22:00Z</cp:lastPrinted>
  <dcterms:created xsi:type="dcterms:W3CDTF">2015-02-11T15:59:00Z</dcterms:created>
  <dcterms:modified xsi:type="dcterms:W3CDTF">2015-02-13T16:24:00Z</dcterms:modified>
</cp:coreProperties>
</file>