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64E" w:rsidRDefault="0004164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04164E" w:rsidRDefault="0004164E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4164E" w:rsidRDefault="0004164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04164E" w:rsidRDefault="0004164E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4164E" w:rsidRDefault="0004164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21  DE ENERO DE  2015</w:t>
      </w:r>
    </w:p>
    <w:p w:rsidR="0004164E" w:rsidRDefault="0004164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4164E" w:rsidRPr="0004164E" w:rsidRDefault="0004164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04164E">
        <w:rPr>
          <w:rFonts w:ascii="Helvetica" w:hAnsi="Helvetica"/>
          <w:b/>
          <w:lang w:val="es-ES_tradnl"/>
        </w:rPr>
        <w:t xml:space="preserve">(E. E. Nº 2013-17-1-0000036, </w:t>
      </w:r>
      <w:proofErr w:type="spellStart"/>
      <w:r w:rsidRPr="0004164E">
        <w:rPr>
          <w:rFonts w:ascii="Helvetica" w:hAnsi="Helvetica"/>
          <w:b/>
          <w:lang w:val="es-ES_tradnl"/>
        </w:rPr>
        <w:t>Ent</w:t>
      </w:r>
      <w:proofErr w:type="spellEnd"/>
      <w:r w:rsidRPr="0004164E">
        <w:rPr>
          <w:rFonts w:ascii="Helvetica" w:hAnsi="Helvetica"/>
          <w:b/>
          <w:lang w:val="es-ES_tradnl"/>
        </w:rPr>
        <w:t>. N° 0064/15)</w:t>
      </w:r>
    </w:p>
    <w:p w:rsidR="0004164E" w:rsidRPr="0004164E" w:rsidRDefault="0004164E">
      <w:pPr>
        <w:tabs>
          <w:tab w:val="center" w:pos="4253"/>
        </w:tabs>
        <w:suppressAutoHyphens/>
        <w:jc w:val="center"/>
        <w:rPr>
          <w:spacing w:val="-3"/>
          <w:lang w:val="es-ES_tradnl"/>
        </w:rPr>
      </w:pPr>
    </w:p>
    <w:p w:rsidR="0004164E" w:rsidRPr="0004164E" w:rsidRDefault="0004164E">
      <w:pPr>
        <w:tabs>
          <w:tab w:val="center" w:pos="4253"/>
        </w:tabs>
        <w:suppressAutoHyphens/>
        <w:rPr>
          <w:spacing w:val="-3"/>
          <w:lang w:val="es-ES_tradnl"/>
        </w:rPr>
      </w:pPr>
    </w:p>
    <w:p w:rsidR="0004164E" w:rsidRDefault="00DF4941" w:rsidP="0004164E">
      <w:pPr>
        <w:spacing w:line="360" w:lineRule="auto"/>
        <w:ind w:firstLine="851"/>
        <w:jc w:val="both"/>
      </w:pPr>
      <w:r>
        <w:rPr>
          <w:rFonts w:cs="Arial"/>
          <w:b/>
          <w:bCs/>
        </w:rPr>
        <w:t xml:space="preserve">VISTO: </w:t>
      </w:r>
      <w:r>
        <w:t>las actuaciones remitidas por el Ministerio de Turismo y Deporte, relacionad</w:t>
      </w:r>
      <w:r w:rsidR="0004164E">
        <w:t>as con la transferencia de $ 42:</w:t>
      </w:r>
      <w:r>
        <w:t>950.000 a la Corporación Nacional para el Desarrollo  en el marco del Programa “Uruguay a Toda Costa</w:t>
      </w:r>
      <w:r w:rsidR="00A14C85">
        <w:t>”</w:t>
      </w:r>
      <w:r w:rsidR="0004164E">
        <w:t>;</w:t>
      </w:r>
    </w:p>
    <w:p w:rsidR="0004164E" w:rsidRDefault="00DF4941" w:rsidP="0004164E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bCs/>
        </w:rPr>
        <w:t>RESULTANDO: 1)</w:t>
      </w:r>
      <w:r w:rsidR="001E256E" w:rsidRPr="001E256E">
        <w:rPr>
          <w:rFonts w:cs="Arial"/>
          <w:b/>
          <w:bCs/>
        </w:rPr>
        <w:t xml:space="preserve"> </w:t>
      </w:r>
      <w:r w:rsidR="001E256E">
        <w:rPr>
          <w:rFonts w:cs="Arial"/>
        </w:rPr>
        <w:t>que con fecha 26 de enero de 2009, el Ministerio de Turismo y Deporte y la Corporación Nacional para el Desarrollo, suscribieron un Convenio, en el marco del Programa “Uruguay a Toda Costa”, llevado adelante por el Ministerio de Educación y Cultura, las Intendencias Municipales de Montevideo, Canelones, Rocha, Maldonado, Colonia, San José y Ministerio de Turismo y Deporte, que prevé la organización de espectáculos, eventos deportivos,  y actividades recreativas incluyendo la infraestructura, escenarios e iluminación a realizarse en las playas y escenarios deportivos del Uruguay;</w:t>
      </w:r>
    </w:p>
    <w:p w:rsidR="0004164E" w:rsidRDefault="001E256E" w:rsidP="0004164E">
      <w:pPr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  <w:bCs/>
        </w:rPr>
        <w:t xml:space="preserve">2) </w:t>
      </w:r>
      <w:r>
        <w:rPr>
          <w:rFonts w:cs="Arial"/>
        </w:rPr>
        <w:t>que en Sesión de fecha 6 de octubre de 2010, este Tribunal acordó observar el Convenio remitido y los gastos emergentes del mismo, en virtud de que la administración de los recursos le corresponde al Ministerio “en razón de sus cometidos”, a</w:t>
      </w:r>
      <w:r w:rsidR="0004164E">
        <w:rPr>
          <w:rFonts w:cs="Arial"/>
        </w:rPr>
        <w:t xml:space="preserve"> la luz de lo dispuesto por el A</w:t>
      </w:r>
      <w:r>
        <w:rPr>
          <w:rFonts w:cs="Arial"/>
        </w:rPr>
        <w:t>rtículo 11 de la Ley Nº 15.785 en la redacción d</w:t>
      </w:r>
      <w:r w:rsidR="0004164E">
        <w:rPr>
          <w:rFonts w:cs="Arial"/>
        </w:rPr>
        <w:t>ada por el Artículo 34 de la Ley Nº</w:t>
      </w:r>
      <w:r>
        <w:rPr>
          <w:rFonts w:cs="Arial"/>
        </w:rPr>
        <w:t>18.602, y en razón de que el Convenio fue remitido a la consideración de este Tribunal con posterioridad a su suscripción, contraviniendo lo dispuesto por el Literal B) del Artículo 211 de la Constitución de la República;</w:t>
      </w:r>
    </w:p>
    <w:p w:rsidR="0004164E" w:rsidRDefault="001E256E" w:rsidP="0004164E">
      <w:pPr>
        <w:spacing w:line="360" w:lineRule="auto"/>
        <w:ind w:firstLine="2694"/>
        <w:jc w:val="both"/>
      </w:pPr>
      <w:r w:rsidRPr="000A3CA9">
        <w:rPr>
          <w:rFonts w:cs="Arial"/>
          <w:b/>
        </w:rPr>
        <w:t>3)</w:t>
      </w:r>
      <w:r>
        <w:rPr>
          <w:rFonts w:cs="Arial"/>
        </w:rPr>
        <w:t xml:space="preserve"> </w:t>
      </w:r>
      <w:r>
        <w:t xml:space="preserve">que en sucesivas oportunidades este Tribunal  ha </w:t>
      </w:r>
      <w:proofErr w:type="gramStart"/>
      <w:r>
        <w:t>acordado</w:t>
      </w:r>
      <w:proofErr w:type="gramEnd"/>
      <w:r>
        <w:t xml:space="preserve"> observar el gasto derivado de </w:t>
      </w:r>
      <w:r w:rsidR="000A3CA9">
        <w:t>transferencias</w:t>
      </w:r>
      <w:r>
        <w:t xml:space="preserve"> </w:t>
      </w:r>
      <w:r w:rsidR="000A3CA9">
        <w:t>dinerarias</w:t>
      </w:r>
      <w:r>
        <w:t xml:space="preserve"> reali</w:t>
      </w:r>
      <w:r w:rsidR="000A3CA9">
        <w:t>zadas</w:t>
      </w:r>
      <w:r>
        <w:t xml:space="preserve"> a la CND</w:t>
      </w:r>
      <w:r w:rsidR="006433F0">
        <w:t>,</w:t>
      </w:r>
      <w:r>
        <w:t xml:space="preserve">  en virtud de que las mismas se han realizad</w:t>
      </w:r>
      <w:r w:rsidR="00282E63">
        <w:t>o</w:t>
      </w:r>
      <w:r>
        <w:t xml:space="preserve"> en cumplimien</w:t>
      </w:r>
      <w:r w:rsidR="00282E63">
        <w:t>t</w:t>
      </w:r>
      <w:r>
        <w:t xml:space="preserve">o  del </w:t>
      </w:r>
      <w:r>
        <w:lastRenderedPageBreak/>
        <w:t xml:space="preserve">convenio referido, el cual fue observado por este Tribunal con fecha 6 de octubre de 2010. Asimismo, en su  </w:t>
      </w:r>
      <w:r w:rsidR="00282E63">
        <w:t xml:space="preserve">último pronunciamiento al respecto emitido el 20 de noviembre de 2013, </w:t>
      </w:r>
      <w:r w:rsidR="00A14C85">
        <w:t xml:space="preserve"> este Tribunal observó</w:t>
      </w:r>
      <w:r w:rsidR="00282E63">
        <w:t xml:space="preserve"> ad</w:t>
      </w:r>
      <w:r w:rsidR="000A3CA9">
        <w:t>i</w:t>
      </w:r>
      <w:r w:rsidR="00282E63">
        <w:t>cionalmente la tr</w:t>
      </w:r>
      <w:r w:rsidR="000A3CA9">
        <w:t>an</w:t>
      </w:r>
      <w:r w:rsidR="00282E63">
        <w:t>sferencia rem</w:t>
      </w:r>
      <w:r w:rsidR="000A3CA9">
        <w:t>i</w:t>
      </w:r>
      <w:r w:rsidR="00282E63">
        <w:t>tida en</w:t>
      </w:r>
      <w:r w:rsidR="000A3CA9">
        <w:t xml:space="preserve"> </w:t>
      </w:r>
      <w:r w:rsidR="00282E63">
        <w:t>es</w:t>
      </w:r>
      <w:r w:rsidR="000A3CA9">
        <w:t>a</w:t>
      </w:r>
      <w:r w:rsidR="0004164E">
        <w:t xml:space="preserve"> oportunidad de $ 33:</w:t>
      </w:r>
      <w:r w:rsidR="00282E63">
        <w:t>000.000, por dis</w:t>
      </w:r>
      <w:r w:rsidR="000A3CA9">
        <w:t>p</w:t>
      </w:r>
      <w:r w:rsidR="00282E63">
        <w:t>onerse la misma sin haber sido ef</w:t>
      </w:r>
      <w:r w:rsidR="000A3CA9">
        <w:t>e</w:t>
      </w:r>
      <w:r w:rsidR="00282E63">
        <w:t>ctuadas las correspon</w:t>
      </w:r>
      <w:r w:rsidR="000A3CA9">
        <w:t>d</w:t>
      </w:r>
      <w:r w:rsidR="00282E63">
        <w:t>ientes  rendi</w:t>
      </w:r>
      <w:r w:rsidR="00EE0D3B">
        <w:t>cio</w:t>
      </w:r>
      <w:r w:rsidR="00282E63">
        <w:t>nes de cuentas de las dos partidas recibidas anteriormente  confo</w:t>
      </w:r>
      <w:r w:rsidR="00EE0D3B">
        <w:t>r</w:t>
      </w:r>
      <w:r w:rsidR="0004164E">
        <w:t>me con</w:t>
      </w:r>
      <w:r w:rsidR="00282E63">
        <w:t xml:space="preserve"> lo dispu</w:t>
      </w:r>
      <w:r w:rsidR="00EE0D3B">
        <w:t>e</w:t>
      </w:r>
      <w:r w:rsidR="0004164E">
        <w:t>sto por el A</w:t>
      </w:r>
      <w:r w:rsidR="00282E63">
        <w:t>rticulo 132 del TOCAF y de acu</w:t>
      </w:r>
      <w:r w:rsidR="0004164E">
        <w:t>erdo con el</w:t>
      </w:r>
      <w:r w:rsidR="00EE0D3B">
        <w:t xml:space="preserve"> proc</w:t>
      </w:r>
      <w:r w:rsidR="00282E63">
        <w:t>ed</w:t>
      </w:r>
      <w:r w:rsidR="00EE0D3B">
        <w:t>i</w:t>
      </w:r>
      <w:r w:rsidR="00282E63">
        <w:t>miento instituido `por la Ordenanza Nº 77 de este Tribunal;</w:t>
      </w:r>
    </w:p>
    <w:p w:rsidR="0004164E" w:rsidRDefault="000A3CA9" w:rsidP="0004164E">
      <w:pPr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  <w:bCs/>
        </w:rPr>
        <w:t>4)</w:t>
      </w:r>
      <w:r>
        <w:rPr>
          <w:rFonts w:cs="Arial"/>
        </w:rPr>
        <w:t xml:space="preserve"> que en esta oportunidad</w:t>
      </w:r>
      <w:r w:rsidR="00A14C85">
        <w:rPr>
          <w:rFonts w:cs="Arial"/>
        </w:rPr>
        <w:t>,</w:t>
      </w:r>
      <w:r>
        <w:rPr>
          <w:rFonts w:cs="Arial"/>
        </w:rPr>
        <w:t xml:space="preserve"> se remite  proyecto de Resol</w:t>
      </w:r>
      <w:r w:rsidR="0004164E">
        <w:rPr>
          <w:rFonts w:cs="Arial"/>
        </w:rPr>
        <w:t>ución del Poder Ejecutivo por el</w:t>
      </w:r>
      <w:r>
        <w:rPr>
          <w:rFonts w:cs="Arial"/>
        </w:rPr>
        <w:t xml:space="preserve"> </w:t>
      </w:r>
      <w:r w:rsidR="0004164E">
        <w:rPr>
          <w:rFonts w:cs="Arial"/>
        </w:rPr>
        <w:t>cual se otorga una partida de $42:</w:t>
      </w:r>
      <w:r>
        <w:rPr>
          <w:rFonts w:cs="Arial"/>
        </w:rPr>
        <w:t>950.000 a la CND para apoyar la ejecución de las obras previst</w:t>
      </w:r>
      <w:r w:rsidR="00A14C85">
        <w:rPr>
          <w:rFonts w:cs="Arial"/>
        </w:rPr>
        <w:t>as en el Convenio de referencia,</w:t>
      </w:r>
      <w:r>
        <w:rPr>
          <w:rFonts w:cs="Arial"/>
        </w:rPr>
        <w:t xml:space="preserve"> debiendo la entidad beneficiaria rendir cuenta en forma documentad</w:t>
      </w:r>
      <w:r w:rsidR="0004164E">
        <w:rPr>
          <w:rFonts w:cs="Arial"/>
        </w:rPr>
        <w:t>a, en el plazo previsto por el A</w:t>
      </w:r>
      <w:r>
        <w:rPr>
          <w:rFonts w:cs="Arial"/>
        </w:rPr>
        <w:t>rtículo</w:t>
      </w:r>
      <w:r w:rsidR="0004164E">
        <w:rPr>
          <w:rFonts w:cs="Arial"/>
        </w:rPr>
        <w:t xml:space="preserve"> 132 del TOCAF  y de acuerdo  con el</w:t>
      </w:r>
      <w:r>
        <w:rPr>
          <w:rFonts w:cs="Arial"/>
        </w:rPr>
        <w:t xml:space="preserve"> procedimiento instituido por la Ordenanza Nº 77 de este Tribunal. En dicha </w:t>
      </w:r>
      <w:r w:rsidR="006433F0">
        <w:rPr>
          <w:rFonts w:cs="Arial"/>
        </w:rPr>
        <w:t>R</w:t>
      </w:r>
      <w:r>
        <w:rPr>
          <w:rFonts w:cs="Arial"/>
        </w:rPr>
        <w:t xml:space="preserve">esolución  se deja </w:t>
      </w:r>
      <w:r w:rsidR="00EE0D3B">
        <w:rPr>
          <w:rFonts w:cs="Arial"/>
        </w:rPr>
        <w:t>constancia</w:t>
      </w:r>
      <w:r>
        <w:rPr>
          <w:rFonts w:cs="Arial"/>
        </w:rPr>
        <w:t xml:space="preserve"> que la erogación resultante se </w:t>
      </w:r>
      <w:r w:rsidR="00EE0D3B">
        <w:rPr>
          <w:rFonts w:cs="Arial"/>
        </w:rPr>
        <w:t>atenderá</w:t>
      </w:r>
      <w:r w:rsidR="0004164E">
        <w:rPr>
          <w:rFonts w:cs="Arial"/>
        </w:rPr>
        <w:t xml:space="preserve"> de la siguiente forma: </w:t>
      </w:r>
      <w:r>
        <w:rPr>
          <w:rFonts w:cs="Arial"/>
        </w:rPr>
        <w:t xml:space="preserve">la </w:t>
      </w:r>
      <w:r w:rsidR="00EE0D3B">
        <w:rPr>
          <w:rFonts w:cs="Arial"/>
        </w:rPr>
        <w:t>suma</w:t>
      </w:r>
      <w:r w:rsidR="0004164E">
        <w:rPr>
          <w:rFonts w:cs="Arial"/>
        </w:rPr>
        <w:t xml:space="preserve"> de $ 27:</w:t>
      </w:r>
      <w:r>
        <w:rPr>
          <w:rFonts w:cs="Arial"/>
        </w:rPr>
        <w:t xml:space="preserve">950.000 con cargo a la financiación 1.1. y </w:t>
      </w:r>
      <w:r w:rsidR="00EE0D3B">
        <w:rPr>
          <w:rFonts w:cs="Arial"/>
        </w:rPr>
        <w:t>financiación</w:t>
      </w:r>
      <w:r>
        <w:rPr>
          <w:rFonts w:cs="Arial"/>
        </w:rPr>
        <w:t xml:space="preserve"> 1.2, Pr</w:t>
      </w:r>
      <w:r w:rsidR="00EE0D3B">
        <w:rPr>
          <w:rFonts w:cs="Arial"/>
        </w:rPr>
        <w:t>o</w:t>
      </w:r>
      <w:r>
        <w:rPr>
          <w:rFonts w:cs="Arial"/>
        </w:rPr>
        <w:t>gr</w:t>
      </w:r>
      <w:r w:rsidR="00EE0D3B">
        <w:rPr>
          <w:rFonts w:cs="Arial"/>
        </w:rPr>
        <w:t>a</w:t>
      </w:r>
      <w:r>
        <w:rPr>
          <w:rFonts w:cs="Arial"/>
        </w:rPr>
        <w:t>ma 282, Proyecto</w:t>
      </w:r>
      <w:r w:rsidR="00EE0D3B">
        <w:rPr>
          <w:rFonts w:cs="Arial"/>
        </w:rPr>
        <w:t xml:space="preserve"> </w:t>
      </w:r>
      <w:r>
        <w:rPr>
          <w:rFonts w:cs="Arial"/>
        </w:rPr>
        <w:t>973 de</w:t>
      </w:r>
      <w:r w:rsidR="00A14C85">
        <w:rPr>
          <w:rFonts w:cs="Arial"/>
        </w:rPr>
        <w:t>l</w:t>
      </w:r>
      <w:r>
        <w:rPr>
          <w:rFonts w:cs="Arial"/>
        </w:rPr>
        <w:t xml:space="preserve"> </w:t>
      </w:r>
      <w:r w:rsidR="0004164E">
        <w:rPr>
          <w:rFonts w:cs="Arial"/>
        </w:rPr>
        <w:t>E</w:t>
      </w:r>
      <w:r w:rsidR="00EE0D3B">
        <w:rPr>
          <w:rFonts w:cs="Arial"/>
        </w:rPr>
        <w:t>jercicio</w:t>
      </w:r>
      <w:r w:rsidR="0004164E">
        <w:rPr>
          <w:rFonts w:cs="Arial"/>
        </w:rPr>
        <w:t xml:space="preserve"> 2014 y la suma de $ 15:000.000 con cargo a la F</w:t>
      </w:r>
      <w:r>
        <w:rPr>
          <w:rFonts w:cs="Arial"/>
        </w:rPr>
        <w:t>ina</w:t>
      </w:r>
      <w:r w:rsidR="00EE0D3B">
        <w:rPr>
          <w:rFonts w:cs="Arial"/>
        </w:rPr>
        <w:t>nciació</w:t>
      </w:r>
      <w:r w:rsidR="0004164E">
        <w:rPr>
          <w:rFonts w:cs="Arial"/>
        </w:rPr>
        <w:t>n 1.1</w:t>
      </w:r>
      <w:r>
        <w:rPr>
          <w:rFonts w:cs="Arial"/>
        </w:rPr>
        <w:t>, Pr</w:t>
      </w:r>
      <w:r w:rsidR="00EE0D3B">
        <w:rPr>
          <w:rFonts w:cs="Arial"/>
        </w:rPr>
        <w:t>o</w:t>
      </w:r>
      <w:r>
        <w:rPr>
          <w:rFonts w:cs="Arial"/>
        </w:rPr>
        <w:t>g</w:t>
      </w:r>
      <w:r w:rsidR="00EE0D3B">
        <w:rPr>
          <w:rFonts w:cs="Arial"/>
        </w:rPr>
        <w:t>r</w:t>
      </w:r>
      <w:r>
        <w:rPr>
          <w:rFonts w:cs="Arial"/>
        </w:rPr>
        <w:t>ama 282, Proyecto 973 del Ejercicio</w:t>
      </w:r>
      <w:r w:rsidR="00EE0D3B">
        <w:rPr>
          <w:rFonts w:cs="Arial"/>
        </w:rPr>
        <w:t xml:space="preserve"> </w:t>
      </w:r>
      <w:r>
        <w:rPr>
          <w:rFonts w:cs="Arial"/>
        </w:rPr>
        <w:t xml:space="preserve">2015, </w:t>
      </w:r>
      <w:r w:rsidR="00EE0D3B">
        <w:rPr>
          <w:rFonts w:cs="Arial"/>
        </w:rPr>
        <w:t xml:space="preserve">habiéndose </w:t>
      </w:r>
      <w:r>
        <w:rPr>
          <w:rFonts w:cs="Arial"/>
        </w:rPr>
        <w:t>real</w:t>
      </w:r>
      <w:r w:rsidR="00EE0D3B">
        <w:rPr>
          <w:rFonts w:cs="Arial"/>
        </w:rPr>
        <w:t>izado</w:t>
      </w:r>
      <w:r>
        <w:rPr>
          <w:rFonts w:cs="Arial"/>
        </w:rPr>
        <w:t xml:space="preserve"> las afectaciones </w:t>
      </w:r>
      <w:r w:rsidR="00EE0D3B">
        <w:rPr>
          <w:rFonts w:cs="Arial"/>
        </w:rPr>
        <w:t>correspondientes</w:t>
      </w:r>
      <w:r>
        <w:rPr>
          <w:rFonts w:cs="Arial"/>
        </w:rPr>
        <w:t xml:space="preserve"> identificada</w:t>
      </w:r>
      <w:r w:rsidR="00EE0D3B">
        <w:rPr>
          <w:rFonts w:cs="Arial"/>
        </w:rPr>
        <w:t>s</w:t>
      </w:r>
      <w:r w:rsidR="0004164E">
        <w:rPr>
          <w:rFonts w:cs="Arial"/>
        </w:rPr>
        <w:t xml:space="preserve"> con los números 804 y 805;</w:t>
      </w:r>
    </w:p>
    <w:p w:rsidR="000A3CA9" w:rsidRDefault="000A3CA9" w:rsidP="0004164E">
      <w:pPr>
        <w:spacing w:line="360" w:lineRule="auto"/>
        <w:ind w:firstLine="2694"/>
        <w:jc w:val="both"/>
      </w:pPr>
      <w:r>
        <w:rPr>
          <w:rFonts w:cs="Arial"/>
          <w:b/>
          <w:bCs/>
        </w:rPr>
        <w:t xml:space="preserve">5) </w:t>
      </w:r>
      <w:r>
        <w:rPr>
          <w:rFonts w:cs="Arial"/>
        </w:rPr>
        <w:t>que se deja constancia en informe del Departamento Contable de fecha 19 de noviembre de 2014, que queda</w:t>
      </w:r>
      <w:r w:rsidR="006433F0">
        <w:rPr>
          <w:rFonts w:cs="Arial"/>
        </w:rPr>
        <w:t>n</w:t>
      </w:r>
      <w:r>
        <w:rPr>
          <w:rFonts w:cs="Arial"/>
        </w:rPr>
        <w:t xml:space="preserve"> saldos pendientes de rendición de cuenta por parte de la CND de  partidas recibidas con anterioridad;</w:t>
      </w:r>
      <w:r>
        <w:rPr>
          <w:rFonts w:cs="Arial"/>
          <w:b/>
          <w:bCs/>
        </w:rPr>
        <w:t xml:space="preserve">                       </w:t>
      </w:r>
    </w:p>
    <w:p w:rsidR="0004164E" w:rsidRDefault="00DF4941" w:rsidP="0004164E">
      <w:pPr>
        <w:pStyle w:val="Textoindependiente"/>
        <w:ind w:firstLine="85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CONSIDERANDO:</w:t>
      </w:r>
      <w:r>
        <w:rPr>
          <w:rFonts w:cs="Arial"/>
          <w:b/>
        </w:rPr>
        <w:t xml:space="preserve"> </w:t>
      </w:r>
      <w:r>
        <w:rPr>
          <w:rFonts w:ascii="Arial" w:hAnsi="Arial" w:cs="Arial"/>
          <w:b/>
        </w:rPr>
        <w:t>1)</w:t>
      </w:r>
      <w:r>
        <w:rPr>
          <w:rFonts w:cs="Arial"/>
          <w:b/>
        </w:rPr>
        <w:t xml:space="preserve"> </w:t>
      </w:r>
      <w:r>
        <w:rPr>
          <w:rFonts w:ascii="Arial" w:hAnsi="Arial" w:cs="Arial"/>
        </w:rPr>
        <w:t xml:space="preserve">que la transferencia remitida se realiza en cumplimiento de un convenio que </w:t>
      </w:r>
      <w:r w:rsidR="00EE0D3B">
        <w:rPr>
          <w:rFonts w:ascii="Arial" w:hAnsi="Arial" w:cs="Arial"/>
        </w:rPr>
        <w:t>ha sido observado por parte de</w:t>
      </w:r>
      <w:r>
        <w:rPr>
          <w:rFonts w:ascii="Arial" w:hAnsi="Arial" w:cs="Arial"/>
        </w:rPr>
        <w:t xml:space="preserve"> este Tribunal por Resolución de </w:t>
      </w:r>
      <w:r w:rsidR="00EE0D3B">
        <w:rPr>
          <w:rFonts w:ascii="Arial" w:hAnsi="Arial" w:cs="Arial"/>
        </w:rPr>
        <w:t>6 de octubre de 2010</w:t>
      </w:r>
      <w:r>
        <w:rPr>
          <w:rFonts w:ascii="Arial" w:hAnsi="Arial" w:cs="Arial"/>
        </w:rPr>
        <w:t>;</w:t>
      </w:r>
    </w:p>
    <w:p w:rsidR="00A14C85" w:rsidRPr="0004164E" w:rsidRDefault="00DF4941" w:rsidP="0004164E">
      <w:pPr>
        <w:pStyle w:val="Textoindependiente"/>
        <w:ind w:firstLine="3119"/>
        <w:rPr>
          <w:rFonts w:ascii="Arial" w:hAnsi="Arial" w:cs="Arial"/>
        </w:rPr>
      </w:pPr>
      <w:r w:rsidRPr="0004164E">
        <w:rPr>
          <w:rFonts w:ascii="Arial" w:hAnsi="Arial" w:cs="Arial"/>
          <w:b/>
          <w:bCs/>
        </w:rPr>
        <w:lastRenderedPageBreak/>
        <w:t xml:space="preserve">2)  </w:t>
      </w:r>
      <w:r w:rsidRPr="0004164E">
        <w:rPr>
          <w:rFonts w:ascii="Arial" w:hAnsi="Arial" w:cs="Arial"/>
        </w:rPr>
        <w:t xml:space="preserve">que </w:t>
      </w:r>
      <w:r w:rsidR="0004164E">
        <w:rPr>
          <w:rFonts w:ascii="Arial" w:hAnsi="Arial" w:cs="Arial"/>
        </w:rPr>
        <w:t>por su parte, la</w:t>
      </w:r>
      <w:r w:rsidR="00EE0D3B" w:rsidRPr="0004164E">
        <w:rPr>
          <w:rFonts w:ascii="Arial" w:hAnsi="Arial" w:cs="Arial"/>
        </w:rPr>
        <w:t xml:space="preserve"> </w:t>
      </w:r>
      <w:r w:rsidR="00A14C85" w:rsidRPr="0004164E">
        <w:rPr>
          <w:rFonts w:ascii="Arial" w:hAnsi="Arial" w:cs="Arial"/>
        </w:rPr>
        <w:t>transferencia</w:t>
      </w:r>
      <w:r w:rsidR="00EE0D3B" w:rsidRPr="0004164E">
        <w:rPr>
          <w:rFonts w:ascii="Arial" w:hAnsi="Arial" w:cs="Arial"/>
        </w:rPr>
        <w:t xml:space="preserve"> se </w:t>
      </w:r>
      <w:r w:rsidR="00A14C85" w:rsidRPr="0004164E">
        <w:rPr>
          <w:rFonts w:ascii="Arial" w:hAnsi="Arial" w:cs="Arial"/>
        </w:rPr>
        <w:t>proyecta</w:t>
      </w:r>
      <w:r w:rsidR="00EE0D3B" w:rsidRPr="0004164E">
        <w:rPr>
          <w:rFonts w:ascii="Arial" w:hAnsi="Arial" w:cs="Arial"/>
        </w:rPr>
        <w:t xml:space="preserve"> realizar </w:t>
      </w:r>
      <w:r w:rsidRPr="0004164E">
        <w:rPr>
          <w:rFonts w:ascii="Arial" w:hAnsi="Arial" w:cs="Arial"/>
        </w:rPr>
        <w:t xml:space="preserve"> sin</w:t>
      </w:r>
      <w:r w:rsidR="00A14C85" w:rsidRPr="0004164E">
        <w:rPr>
          <w:rFonts w:ascii="Arial" w:hAnsi="Arial" w:cs="Arial"/>
        </w:rPr>
        <w:t xml:space="preserve"> que la CND </w:t>
      </w:r>
      <w:r w:rsidRPr="0004164E">
        <w:rPr>
          <w:rFonts w:ascii="Arial" w:hAnsi="Arial" w:cs="Arial"/>
        </w:rPr>
        <w:t xml:space="preserve"> ha</w:t>
      </w:r>
      <w:r w:rsidR="00A14C85" w:rsidRPr="0004164E">
        <w:rPr>
          <w:rFonts w:ascii="Arial" w:hAnsi="Arial" w:cs="Arial"/>
        </w:rPr>
        <w:t>ya</w:t>
      </w:r>
      <w:r w:rsidRPr="0004164E">
        <w:rPr>
          <w:rFonts w:ascii="Arial" w:hAnsi="Arial" w:cs="Arial"/>
        </w:rPr>
        <w:t xml:space="preserve"> realizado las correspondientes rendiciones de cuentas de fondos recibidos anteriormente</w:t>
      </w:r>
      <w:r w:rsidR="00A14C85" w:rsidRPr="0004164E">
        <w:rPr>
          <w:rFonts w:ascii="Arial" w:hAnsi="Arial" w:cs="Arial"/>
        </w:rPr>
        <w:t xml:space="preserve">, </w:t>
      </w:r>
      <w:r w:rsidR="0004164E">
        <w:rPr>
          <w:rFonts w:ascii="Arial" w:hAnsi="Arial" w:cs="Arial"/>
        </w:rPr>
        <w:t>conforme con lo dispuesto por el A</w:t>
      </w:r>
      <w:r w:rsidR="00A14C85" w:rsidRPr="0004164E">
        <w:rPr>
          <w:rFonts w:ascii="Arial" w:hAnsi="Arial" w:cs="Arial"/>
        </w:rPr>
        <w:t>rticu</w:t>
      </w:r>
      <w:r w:rsidR="0004164E">
        <w:rPr>
          <w:rFonts w:ascii="Arial" w:hAnsi="Arial" w:cs="Arial"/>
        </w:rPr>
        <w:t>lo 132 del TOCAF y de acuerdo con el</w:t>
      </w:r>
      <w:r w:rsidR="00A14C85" w:rsidRPr="0004164E">
        <w:rPr>
          <w:rFonts w:ascii="Arial" w:hAnsi="Arial" w:cs="Arial"/>
        </w:rPr>
        <w:t xml:space="preserve"> procedimiento instituido `por la Ordenanza Nº 77 de este Tribunal;</w:t>
      </w:r>
    </w:p>
    <w:p w:rsidR="00DF4941" w:rsidRDefault="00DF4941" w:rsidP="0004164E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bCs/>
        </w:rPr>
        <w:t xml:space="preserve">ATENTO </w:t>
      </w:r>
      <w:r>
        <w:rPr>
          <w:rFonts w:cs="Arial"/>
        </w:rPr>
        <w:t>a lo precedentemente ex</w:t>
      </w:r>
      <w:r w:rsidR="0004164E">
        <w:rPr>
          <w:rFonts w:cs="Arial"/>
        </w:rPr>
        <w:t>puesto y a lo dispuesto por el A</w:t>
      </w:r>
      <w:r>
        <w:rPr>
          <w:rFonts w:cs="Arial"/>
        </w:rPr>
        <w:t>rtículo 211 Lit</w:t>
      </w:r>
      <w:r w:rsidR="0004164E">
        <w:rPr>
          <w:rFonts w:cs="Arial"/>
        </w:rPr>
        <w:t>eral</w:t>
      </w:r>
      <w:r>
        <w:rPr>
          <w:rFonts w:cs="Arial"/>
        </w:rPr>
        <w:t xml:space="preserve"> B) de la Constitución de la República;</w:t>
      </w:r>
    </w:p>
    <w:p w:rsidR="00DF4941" w:rsidRDefault="009C632E" w:rsidP="00DF4941">
      <w:pPr>
        <w:pStyle w:val="Textoindependiente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TRIBUNAL ACUERDA</w:t>
      </w:r>
      <w:bookmarkStart w:id="0" w:name="_GoBack"/>
      <w:bookmarkEnd w:id="0"/>
    </w:p>
    <w:p w:rsidR="00DF4941" w:rsidRDefault="00DF4941" w:rsidP="00DF4941">
      <w:pPr>
        <w:pStyle w:val="Textoindependien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Observar la transferencia</w:t>
      </w:r>
      <w:r w:rsidR="00A14C85">
        <w:rPr>
          <w:rFonts w:ascii="Arial" w:hAnsi="Arial" w:cs="Arial"/>
        </w:rPr>
        <w:t xml:space="preserve"> remitida</w:t>
      </w:r>
      <w:r>
        <w:rPr>
          <w:rFonts w:ascii="Arial" w:hAnsi="Arial" w:cs="Arial"/>
        </w:rPr>
        <w:t xml:space="preserve"> de</w:t>
      </w:r>
      <w:r w:rsidR="00A14C85">
        <w:rPr>
          <w:rFonts w:ascii="Arial" w:hAnsi="Arial" w:cs="Arial"/>
        </w:rPr>
        <w:t xml:space="preserve"> </w:t>
      </w:r>
      <w:r w:rsidR="00703769">
        <w:rPr>
          <w:rFonts w:ascii="Arial" w:hAnsi="Arial" w:cs="Arial"/>
        </w:rPr>
        <w:t>$ 42:</w:t>
      </w:r>
      <w:r w:rsidR="00A14C85" w:rsidRPr="00A14C85">
        <w:rPr>
          <w:rFonts w:ascii="Arial" w:hAnsi="Arial" w:cs="Arial"/>
        </w:rPr>
        <w:t>950.000</w:t>
      </w:r>
      <w:r w:rsidR="00A14C85">
        <w:t xml:space="preserve"> </w:t>
      </w:r>
      <w:r>
        <w:rPr>
          <w:rFonts w:ascii="Arial" w:hAnsi="Arial" w:cs="Arial"/>
        </w:rPr>
        <w:t>a la Corporación Nacional para el Desarrollo</w:t>
      </w:r>
      <w:r w:rsidR="00A14C85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:rsidR="00D56300" w:rsidRDefault="00DF4941" w:rsidP="00703769">
      <w:pPr>
        <w:pStyle w:val="Textoindependiente"/>
        <w:numPr>
          <w:ilvl w:val="0"/>
          <w:numId w:val="1"/>
        </w:numPr>
      </w:pPr>
      <w:r>
        <w:rPr>
          <w:rFonts w:ascii="Arial" w:hAnsi="Arial" w:cs="Arial"/>
        </w:rPr>
        <w:t>Devolver los antecedentes.</w:t>
      </w:r>
      <w:r w:rsidR="00703769">
        <w:t xml:space="preserve"> </w:t>
      </w:r>
    </w:p>
    <w:p w:rsidR="00703769" w:rsidRDefault="00703769" w:rsidP="00703769">
      <w:pPr>
        <w:pStyle w:val="Textoindependiente"/>
      </w:pPr>
    </w:p>
    <w:p w:rsidR="00703769" w:rsidRDefault="00703769" w:rsidP="00703769">
      <w:pPr>
        <w:pStyle w:val="Textoindependiente"/>
      </w:pPr>
    </w:p>
    <w:p w:rsidR="00703769" w:rsidRDefault="00703769" w:rsidP="00703769">
      <w:pPr>
        <w:pStyle w:val="Textoindependiente"/>
      </w:pPr>
    </w:p>
    <w:p w:rsidR="00703769" w:rsidRDefault="00703769" w:rsidP="00703769">
      <w:pPr>
        <w:pStyle w:val="Textoindependiente"/>
      </w:pPr>
    </w:p>
    <w:p w:rsidR="00703769" w:rsidRPr="00703769" w:rsidRDefault="00703769" w:rsidP="00703769">
      <w:pPr>
        <w:pStyle w:val="Textoindependiente"/>
        <w:ind w:hanging="142"/>
        <w:rPr>
          <w:rFonts w:ascii="Arial" w:hAnsi="Arial" w:cs="Arial"/>
        </w:rPr>
      </w:pPr>
      <w:proofErr w:type="gramStart"/>
      <w:r w:rsidRPr="00703769">
        <w:rPr>
          <w:rFonts w:ascii="Arial" w:hAnsi="Arial" w:cs="Arial"/>
        </w:rPr>
        <w:t>dc</w:t>
      </w:r>
      <w:proofErr w:type="gramEnd"/>
    </w:p>
    <w:sectPr w:rsidR="00703769" w:rsidRPr="00703769" w:rsidSect="00703769"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B404C"/>
    <w:multiLevelType w:val="hybridMultilevel"/>
    <w:tmpl w:val="10F60126"/>
    <w:lvl w:ilvl="0" w:tplc="74C664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941"/>
    <w:rsid w:val="0004164E"/>
    <w:rsid w:val="000A3CA9"/>
    <w:rsid w:val="001E256E"/>
    <w:rsid w:val="00282E63"/>
    <w:rsid w:val="006433F0"/>
    <w:rsid w:val="0067197B"/>
    <w:rsid w:val="006F27A0"/>
    <w:rsid w:val="00703769"/>
    <w:rsid w:val="0086382F"/>
    <w:rsid w:val="009C632E"/>
    <w:rsid w:val="00A14C85"/>
    <w:rsid w:val="00DF4941"/>
    <w:rsid w:val="00E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9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F4941"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DF4941"/>
    <w:pPr>
      <w:keepNext/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DF4941"/>
    <w:pPr>
      <w:keepNext/>
      <w:spacing w:line="360" w:lineRule="auto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F4941"/>
    <w:rPr>
      <w:rFonts w:ascii="Arial" w:eastAsia="Times New Roman" w:hAnsi="Arial" w:cs="Times New Roman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DF4941"/>
    <w:rPr>
      <w:rFonts w:ascii="Arial" w:eastAsia="Times New Roman" w:hAnsi="Arial" w:cs="Times New Roman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DF4941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DF4941"/>
    <w:pPr>
      <w:spacing w:line="360" w:lineRule="auto"/>
      <w:jc w:val="both"/>
    </w:pPr>
    <w:rPr>
      <w:rFonts w:ascii="Bookman Old Style" w:hAnsi="Bookman Old Style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F4941"/>
    <w:rPr>
      <w:rFonts w:ascii="Bookman Old Style" w:eastAsia="Times New Roman" w:hAnsi="Bookman Old Style" w:cs="Times New Roman"/>
      <w:sz w:val="24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9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F4941"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DF4941"/>
    <w:pPr>
      <w:keepNext/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DF4941"/>
    <w:pPr>
      <w:keepNext/>
      <w:spacing w:line="360" w:lineRule="auto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F4941"/>
    <w:rPr>
      <w:rFonts w:ascii="Arial" w:eastAsia="Times New Roman" w:hAnsi="Arial" w:cs="Times New Roman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DF4941"/>
    <w:rPr>
      <w:rFonts w:ascii="Arial" w:eastAsia="Times New Roman" w:hAnsi="Arial" w:cs="Times New Roman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DF4941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DF4941"/>
    <w:pPr>
      <w:spacing w:line="360" w:lineRule="auto"/>
      <w:jc w:val="both"/>
    </w:pPr>
    <w:rPr>
      <w:rFonts w:ascii="Bookman Old Style" w:hAnsi="Bookman Old Style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F4941"/>
    <w:rPr>
      <w:rFonts w:ascii="Bookman Old Style" w:eastAsia="Times New Roman" w:hAnsi="Bookman Old Style" w:cs="Times New Roman"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640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Tribunal1</dc:creator>
  <cp:keywords/>
  <dc:description/>
  <cp:lastModifiedBy>Lenovo User</cp:lastModifiedBy>
  <cp:revision>3</cp:revision>
  <cp:lastPrinted>2015-01-26T15:00:00Z</cp:lastPrinted>
  <dcterms:created xsi:type="dcterms:W3CDTF">2015-01-26T14:59:00Z</dcterms:created>
  <dcterms:modified xsi:type="dcterms:W3CDTF">2015-01-26T15:00:00Z</dcterms:modified>
</cp:coreProperties>
</file>