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6C" w:rsidRPr="00222D6C" w:rsidRDefault="00222D6C" w:rsidP="00222D6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22D6C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222D6C" w:rsidRPr="00222D6C" w:rsidRDefault="00222D6C" w:rsidP="00222D6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22D6C" w:rsidRPr="00222D6C" w:rsidRDefault="00222D6C" w:rsidP="00222D6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22D6C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222D6C" w:rsidRPr="00222D6C" w:rsidRDefault="00222D6C" w:rsidP="00222D6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22D6C" w:rsidRPr="00222D6C" w:rsidRDefault="00222D6C" w:rsidP="00222D6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22D6C">
        <w:rPr>
          <w:rFonts w:ascii="Helvetica" w:hAnsi="Helvetica"/>
          <w:b/>
          <w:sz w:val="24"/>
          <w:szCs w:val="24"/>
          <w:lang w:val="es-ES_tradnl"/>
        </w:rPr>
        <w:t>EN SESION DE FECHA  21  DE ENERO DE  2015</w:t>
      </w:r>
    </w:p>
    <w:p w:rsidR="00222D6C" w:rsidRPr="00222D6C" w:rsidRDefault="00222D6C" w:rsidP="00222D6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22D6C" w:rsidRPr="00222D6C" w:rsidRDefault="00222D6C" w:rsidP="00222D6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22D6C">
        <w:rPr>
          <w:rFonts w:ascii="Helvetica" w:hAnsi="Helvetica"/>
          <w:b/>
          <w:sz w:val="24"/>
          <w:szCs w:val="24"/>
          <w:lang w:val="es-ES_tradnl"/>
        </w:rPr>
        <w:t xml:space="preserve">(E. E. Nº 2014-17-1-0009676, </w:t>
      </w:r>
      <w:proofErr w:type="spellStart"/>
      <w:r w:rsidRPr="00222D6C">
        <w:rPr>
          <w:rFonts w:ascii="Helvetica" w:hAnsi="Helvetica"/>
          <w:b/>
          <w:sz w:val="24"/>
          <w:szCs w:val="24"/>
          <w:lang w:val="es-ES_tradnl"/>
        </w:rPr>
        <w:t>Ent</w:t>
      </w:r>
      <w:proofErr w:type="spellEnd"/>
      <w:r w:rsidRPr="00222D6C">
        <w:rPr>
          <w:rFonts w:ascii="Helvetica" w:hAnsi="Helvetica"/>
          <w:b/>
          <w:sz w:val="24"/>
          <w:szCs w:val="24"/>
          <w:lang w:val="es-ES_tradnl"/>
        </w:rPr>
        <w:t>. N° 7708/14)</w:t>
      </w:r>
    </w:p>
    <w:p w:rsidR="00222D6C" w:rsidRPr="00222D6C" w:rsidRDefault="00222D6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024024" w:rsidRDefault="00024024" w:rsidP="00222D6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Educación Pública, relacionadas con la Licitación Pública Nº 01/2014, para la contratación de empresas especializadas en seguridad y vigilancia para prestar servicios en locales pertenecientes al Consejo de Formación en Educación;</w:t>
      </w:r>
    </w:p>
    <w:p w:rsidR="00222D6C" w:rsidRDefault="00024024" w:rsidP="00222D6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N° 87, Acta Nº 61, de fecha 08 de octubre de 2014, el Consejo de Formación en Educación autorizó la contratación de empresas especializadas en seguridad y vigilancia para prestar servicios en locales pertenecientes al Consejo de Formación en Educación, y aprobó el Pliego  Particular  de Condiciones;</w:t>
      </w:r>
    </w:p>
    <w:p w:rsidR="00222D6C" w:rsidRDefault="00024024" w:rsidP="00222D6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16.10.14,</w:t>
      </w:r>
      <w:r w:rsidR="00222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publicó el llamado en la Web de Compras y Contrataciones Estatales y con fecha 20.10.14 en el “Diario Oficial”;</w:t>
      </w:r>
    </w:p>
    <w:p w:rsidR="00851562" w:rsidRDefault="00024024" w:rsidP="0085156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al acto de apertura de fecha 05.11.14, se presentaron Nueva Frontera S</w:t>
      </w:r>
      <w:r w:rsidR="0022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2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Sarjoma</w:t>
      </w:r>
      <w:proofErr w:type="spellEnd"/>
      <w:r>
        <w:rPr>
          <w:rFonts w:ascii="Arial" w:hAnsi="Arial" w:cs="Arial"/>
          <w:sz w:val="24"/>
          <w:szCs w:val="24"/>
        </w:rPr>
        <w:t xml:space="preserve"> Seguridad S</w:t>
      </w:r>
      <w:r w:rsidR="0022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2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Securitas</w:t>
      </w:r>
      <w:proofErr w:type="spellEnd"/>
      <w:r>
        <w:rPr>
          <w:rFonts w:ascii="Arial" w:hAnsi="Arial" w:cs="Arial"/>
          <w:sz w:val="24"/>
          <w:szCs w:val="24"/>
        </w:rPr>
        <w:t xml:space="preserve"> Uruguay S</w:t>
      </w:r>
      <w:r w:rsidR="0022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22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Sevitec</w:t>
      </w:r>
      <w:proofErr w:type="spellEnd"/>
      <w:r>
        <w:rPr>
          <w:rFonts w:ascii="Arial" w:hAnsi="Arial" w:cs="Arial"/>
          <w:sz w:val="24"/>
          <w:szCs w:val="24"/>
        </w:rPr>
        <w:t xml:space="preserve"> Ltda</w:t>
      </w:r>
      <w:r w:rsidR="00222D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y Varela Andrés, Juan Manuel Varela Andrés, María Carolina;</w:t>
      </w:r>
    </w:p>
    <w:p w:rsidR="00851562" w:rsidRDefault="00024024" w:rsidP="0085156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 w:rsidR="00851562">
        <w:rPr>
          <w:rFonts w:ascii="Arial" w:hAnsi="Arial" w:cs="Arial"/>
          <w:sz w:val="24"/>
          <w:szCs w:val="24"/>
        </w:rPr>
        <w:t xml:space="preserve"> que de acuerdo con el</w:t>
      </w:r>
      <w:r>
        <w:rPr>
          <w:rFonts w:ascii="Arial" w:hAnsi="Arial" w:cs="Arial"/>
          <w:sz w:val="24"/>
          <w:szCs w:val="24"/>
        </w:rPr>
        <w:t xml:space="preserve"> </w:t>
      </w:r>
      <w:r w:rsidR="008515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66 del TOCAF, con fecha 20.11.14, la Comisión As</w:t>
      </w:r>
      <w:r w:rsidR="00851562">
        <w:rPr>
          <w:rFonts w:ascii="Arial" w:hAnsi="Arial" w:cs="Arial"/>
          <w:sz w:val="24"/>
          <w:szCs w:val="24"/>
        </w:rPr>
        <w:t>esora de Adjudicaciones solicitó</w:t>
      </w:r>
      <w:r>
        <w:rPr>
          <w:rFonts w:ascii="Arial" w:hAnsi="Arial" w:cs="Arial"/>
          <w:sz w:val="24"/>
          <w:szCs w:val="24"/>
        </w:rPr>
        <w:t xml:space="preserve">, por estar mejor ponderadas, con calificación similar, a las empresas Varela Andrés, Juan Manuel, María Carolina y a </w:t>
      </w:r>
      <w:proofErr w:type="spellStart"/>
      <w:r>
        <w:rPr>
          <w:rFonts w:ascii="Arial" w:hAnsi="Arial" w:cs="Arial"/>
          <w:sz w:val="24"/>
          <w:szCs w:val="24"/>
        </w:rPr>
        <w:t>Sarjoma</w:t>
      </w:r>
      <w:proofErr w:type="spellEnd"/>
      <w:r>
        <w:rPr>
          <w:rFonts w:ascii="Arial" w:hAnsi="Arial" w:cs="Arial"/>
          <w:sz w:val="24"/>
          <w:szCs w:val="24"/>
        </w:rPr>
        <w:t xml:space="preserve"> Seguridad S</w:t>
      </w:r>
      <w:r w:rsidR="008515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8515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una mejora de ofertas. Con fecha 26.11.14,</w:t>
      </w:r>
      <w:r w:rsidR="00851562">
        <w:rPr>
          <w:rFonts w:ascii="Arial" w:hAnsi="Arial" w:cs="Arial"/>
          <w:sz w:val="24"/>
          <w:szCs w:val="24"/>
        </w:rPr>
        <w:t xml:space="preserve"> se realizó</w:t>
      </w:r>
      <w:r>
        <w:rPr>
          <w:rFonts w:ascii="Arial" w:hAnsi="Arial" w:cs="Arial"/>
          <w:sz w:val="24"/>
          <w:szCs w:val="24"/>
        </w:rPr>
        <w:t xml:space="preserve"> el acto de mejora, al  cual se presentaron ambas empresas, cotizando menor pecio </w:t>
      </w:r>
      <w:proofErr w:type="spellStart"/>
      <w:r>
        <w:rPr>
          <w:rFonts w:ascii="Arial" w:hAnsi="Arial" w:cs="Arial"/>
          <w:sz w:val="24"/>
          <w:szCs w:val="24"/>
        </w:rPr>
        <w:t>Sarjoma</w:t>
      </w:r>
      <w:proofErr w:type="spellEnd"/>
      <w:r>
        <w:rPr>
          <w:rFonts w:ascii="Arial" w:hAnsi="Arial" w:cs="Arial"/>
          <w:sz w:val="24"/>
          <w:szCs w:val="24"/>
        </w:rPr>
        <w:t xml:space="preserve">. Con fecha 03.12.14, la </w:t>
      </w:r>
      <w:r>
        <w:rPr>
          <w:rFonts w:ascii="Arial" w:hAnsi="Arial" w:cs="Arial"/>
          <w:sz w:val="24"/>
          <w:szCs w:val="24"/>
        </w:rPr>
        <w:lastRenderedPageBreak/>
        <w:t>Comisión Asesora sugirió invitar a las empresas mencionadas a una negociación de ofert</w:t>
      </w:r>
      <w:r w:rsidR="00851562">
        <w:rPr>
          <w:rFonts w:ascii="Arial" w:hAnsi="Arial" w:cs="Arial"/>
          <w:sz w:val="24"/>
          <w:szCs w:val="24"/>
        </w:rPr>
        <w:t>as, a la cual se presentó</w:t>
      </w:r>
      <w:r>
        <w:rPr>
          <w:rFonts w:ascii="Arial" w:hAnsi="Arial" w:cs="Arial"/>
          <w:sz w:val="24"/>
          <w:szCs w:val="24"/>
        </w:rPr>
        <w:t xml:space="preserve"> únicamente la empresa </w:t>
      </w:r>
      <w:proofErr w:type="spellStart"/>
      <w:r>
        <w:rPr>
          <w:rFonts w:ascii="Arial" w:hAnsi="Arial" w:cs="Arial"/>
          <w:sz w:val="24"/>
          <w:szCs w:val="24"/>
        </w:rPr>
        <w:t>Sarjoma</w:t>
      </w:r>
      <w:proofErr w:type="spellEnd"/>
      <w:r>
        <w:rPr>
          <w:rFonts w:ascii="Arial" w:hAnsi="Arial" w:cs="Arial"/>
          <w:sz w:val="24"/>
          <w:szCs w:val="24"/>
        </w:rPr>
        <w:t xml:space="preserve"> Seguridad S</w:t>
      </w:r>
      <w:r w:rsidR="008515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8515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confirmando la cotización propuesta en la mejora;</w:t>
      </w:r>
    </w:p>
    <w:p w:rsidR="00851562" w:rsidRDefault="00024024" w:rsidP="0085156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con fecha 09.12.14, la Comisión Asesora de Adjud</w:t>
      </w:r>
      <w:r w:rsidR="00851562">
        <w:rPr>
          <w:rFonts w:ascii="Arial" w:hAnsi="Arial" w:cs="Arial"/>
          <w:sz w:val="24"/>
          <w:szCs w:val="24"/>
        </w:rPr>
        <w:t>icaciones sugirió adjudicar la Licitación referida, de acuerdo con</w:t>
      </w:r>
      <w:r>
        <w:rPr>
          <w:rFonts w:ascii="Arial" w:hAnsi="Arial" w:cs="Arial"/>
          <w:sz w:val="24"/>
          <w:szCs w:val="24"/>
        </w:rPr>
        <w:t xml:space="preserve"> la po</w:t>
      </w:r>
      <w:r w:rsidR="00851562">
        <w:rPr>
          <w:rFonts w:ascii="Arial" w:hAnsi="Arial" w:cs="Arial"/>
          <w:sz w:val="24"/>
          <w:szCs w:val="24"/>
        </w:rPr>
        <w:t>nderación efectuada, conforme con el</w:t>
      </w:r>
      <w:r>
        <w:rPr>
          <w:rFonts w:ascii="Arial" w:hAnsi="Arial" w:cs="Arial"/>
          <w:sz w:val="24"/>
          <w:szCs w:val="24"/>
        </w:rPr>
        <w:t xml:space="preserve"> </w:t>
      </w:r>
      <w:r w:rsidR="008515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19 del PCP, a la empresa </w:t>
      </w:r>
      <w:proofErr w:type="spellStart"/>
      <w:r>
        <w:rPr>
          <w:rFonts w:ascii="Arial" w:hAnsi="Arial" w:cs="Arial"/>
          <w:sz w:val="24"/>
          <w:szCs w:val="24"/>
        </w:rPr>
        <w:t>Sarjoma</w:t>
      </w:r>
      <w:proofErr w:type="spellEnd"/>
      <w:r>
        <w:rPr>
          <w:rFonts w:ascii="Arial" w:hAnsi="Arial" w:cs="Arial"/>
          <w:sz w:val="24"/>
          <w:szCs w:val="24"/>
        </w:rPr>
        <w:t xml:space="preserve"> Seguridad S</w:t>
      </w:r>
      <w:r w:rsidR="008515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8515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851562" w:rsidRDefault="00024024" w:rsidP="0085156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Contabilidad Presupuestal, División Financiero Contable, con </w:t>
      </w:r>
      <w:r w:rsidR="00851562">
        <w:rPr>
          <w:rFonts w:ascii="Arial" w:hAnsi="Arial" w:cs="Arial"/>
          <w:sz w:val="24"/>
          <w:szCs w:val="24"/>
        </w:rPr>
        <w:t>fecha 30.09.14, informó</w:t>
      </w:r>
      <w:r>
        <w:rPr>
          <w:rFonts w:ascii="Arial" w:hAnsi="Arial" w:cs="Arial"/>
          <w:sz w:val="24"/>
          <w:szCs w:val="24"/>
        </w:rPr>
        <w:t xml:space="preserve"> que de mantenerse la misma distribución de créditos para el Ejercicio 2015 que en el 2014, existiría disponibilidad de crédito en el Grupo 2 de la Financiación Rentas Generales para atender la presente erogación que asciende a $ 7.000.000;</w:t>
      </w:r>
    </w:p>
    <w:p w:rsidR="00024024" w:rsidRDefault="00024024" w:rsidP="0085156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por Resolución Nº 31, Acta Nº 77, de fecha 11.12.14, el Consejo de Formación en E</w:t>
      </w:r>
      <w:r w:rsidR="00851562">
        <w:rPr>
          <w:rFonts w:ascii="Arial" w:hAnsi="Arial" w:cs="Arial"/>
          <w:sz w:val="24"/>
          <w:szCs w:val="24"/>
        </w:rPr>
        <w:t xml:space="preserve">ducación dispuso adjudicar la </w:t>
      </w:r>
      <w:proofErr w:type="gramStart"/>
      <w:r w:rsidR="0085156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icitación ,</w:t>
      </w:r>
      <w:proofErr w:type="gramEnd"/>
      <w:r>
        <w:rPr>
          <w:rFonts w:ascii="Arial" w:hAnsi="Arial" w:cs="Arial"/>
          <w:sz w:val="24"/>
          <w:szCs w:val="24"/>
        </w:rPr>
        <w:t xml:space="preserve"> según el siguiente detalle: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6"/>
        <w:gridCol w:w="5028"/>
      </w:tblGrid>
      <w:tr w:rsidR="00024024" w:rsidTr="00210BD4">
        <w:tc>
          <w:tcPr>
            <w:tcW w:w="3616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8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1: Precio por hora hombre, sin porte de arma</w:t>
            </w:r>
          </w:p>
        </w:tc>
      </w:tr>
      <w:tr w:rsidR="00024024" w:rsidTr="00210BD4">
        <w:tc>
          <w:tcPr>
            <w:tcW w:w="3616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</w:t>
            </w:r>
          </w:p>
        </w:tc>
        <w:tc>
          <w:tcPr>
            <w:tcW w:w="5028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Precio s/IVA                        Precio c/IVA</w:t>
            </w:r>
          </w:p>
        </w:tc>
      </w:tr>
      <w:tr w:rsidR="00024024" w:rsidTr="00210BD4">
        <w:tc>
          <w:tcPr>
            <w:tcW w:w="3616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Sarjoma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210BD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10B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28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$132,90                               $162,10</w:t>
            </w:r>
          </w:p>
        </w:tc>
      </w:tr>
      <w:tr w:rsidR="00024024" w:rsidTr="00210BD4">
        <w:tc>
          <w:tcPr>
            <w:tcW w:w="3616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8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2: Precio por hora hombre, en feriados no laborables, sin porte de arma</w:t>
            </w:r>
          </w:p>
        </w:tc>
      </w:tr>
      <w:tr w:rsidR="00024024" w:rsidTr="00210BD4">
        <w:tc>
          <w:tcPr>
            <w:tcW w:w="3616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</w:t>
            </w:r>
          </w:p>
        </w:tc>
        <w:tc>
          <w:tcPr>
            <w:tcW w:w="5028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Precio s/IVA                       Precio c/IVA</w:t>
            </w:r>
          </w:p>
        </w:tc>
      </w:tr>
      <w:tr w:rsidR="00024024" w:rsidTr="00210BD4">
        <w:tc>
          <w:tcPr>
            <w:tcW w:w="3616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Sarjoma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210BD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10B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28" w:type="dxa"/>
          </w:tcPr>
          <w:p w:rsidR="00024024" w:rsidRDefault="0002402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$132,90                              $162,10</w:t>
            </w:r>
          </w:p>
        </w:tc>
      </w:tr>
    </w:tbl>
    <w:p w:rsidR="00024024" w:rsidRDefault="00024024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24024" w:rsidRDefault="00024024" w:rsidP="00210B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210BD4">
        <w:rPr>
          <w:rFonts w:ascii="Arial" w:hAnsi="Arial" w:cs="Arial"/>
          <w:sz w:val="24"/>
          <w:szCs w:val="24"/>
        </w:rPr>
        <w:t>que el Artículo 12.1</w:t>
      </w:r>
      <w:r>
        <w:rPr>
          <w:rFonts w:ascii="Arial" w:hAnsi="Arial" w:cs="Arial"/>
          <w:sz w:val="24"/>
          <w:szCs w:val="24"/>
        </w:rPr>
        <w:t xml:space="preserve"> del Pliego de Condiciones Particulares, en cuanto exige que la propuesta sea acompañada del recibo de compra del Pli</w:t>
      </w:r>
      <w:r w:rsidR="00210BD4">
        <w:rPr>
          <w:rFonts w:ascii="Arial" w:hAnsi="Arial" w:cs="Arial"/>
          <w:sz w:val="24"/>
          <w:szCs w:val="24"/>
        </w:rPr>
        <w:t>ego de Condiciones Particulares</w:t>
      </w:r>
      <w:r>
        <w:rPr>
          <w:rFonts w:ascii="Arial" w:hAnsi="Arial" w:cs="Arial"/>
          <w:sz w:val="24"/>
          <w:szCs w:val="24"/>
        </w:rPr>
        <w:t xml:space="preserve"> y la acreditación de la </w:t>
      </w:r>
      <w:r w:rsidR="00210BD4">
        <w:rPr>
          <w:rFonts w:ascii="Arial" w:hAnsi="Arial" w:cs="Arial"/>
          <w:sz w:val="24"/>
          <w:szCs w:val="24"/>
        </w:rPr>
        <w:t>representación, contraviene el A</w:t>
      </w:r>
      <w:r>
        <w:rPr>
          <w:rFonts w:ascii="Arial" w:hAnsi="Arial" w:cs="Arial"/>
          <w:sz w:val="24"/>
          <w:szCs w:val="24"/>
        </w:rPr>
        <w:t xml:space="preserve">rtículo 48 del TOCAF, el cual dispone que la </w:t>
      </w:r>
      <w:r>
        <w:rPr>
          <w:rFonts w:ascii="Arial" w:hAnsi="Arial" w:cs="Arial"/>
          <w:sz w:val="24"/>
          <w:szCs w:val="24"/>
        </w:rPr>
        <w:lastRenderedPageBreak/>
        <w:t xml:space="preserve">demostración de tal condición es de cargo, -únicamente- del oferente que resulte adjudicatario; </w:t>
      </w:r>
    </w:p>
    <w:p w:rsidR="00024024" w:rsidRDefault="00024024" w:rsidP="00210B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</w:t>
      </w:r>
      <w:r w:rsidR="00210BD4">
        <w:rPr>
          <w:rFonts w:ascii="Arial" w:hAnsi="Arial" w:cs="Arial"/>
          <w:sz w:val="24"/>
          <w:szCs w:val="24"/>
        </w:rPr>
        <w:t>puesto y a lo dispuesto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024024" w:rsidRDefault="00024024" w:rsidP="00210BD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>EL TRIBUNAL</w:t>
      </w:r>
      <w:r w:rsidR="00210BD4">
        <w:rPr>
          <w:rFonts w:ascii="Arial" w:hAnsi="Arial" w:cs="Arial"/>
          <w:b/>
          <w:bCs/>
          <w:sz w:val="24"/>
          <w:szCs w:val="24"/>
        </w:rPr>
        <w:t xml:space="preserve"> POR MAYORIA ACUERDA</w:t>
      </w:r>
    </w:p>
    <w:p w:rsidR="00024024" w:rsidRDefault="00024024" w:rsidP="00210BD4">
      <w:pPr>
        <w:pStyle w:val="Textoindependiente"/>
        <w:numPr>
          <w:ilvl w:val="0"/>
          <w:numId w:val="1"/>
        </w:numPr>
      </w:pPr>
      <w:r>
        <w:t>Observar el gasto;</w:t>
      </w:r>
    </w:p>
    <w:p w:rsidR="00024024" w:rsidRDefault="00210BD4" w:rsidP="00210BD4">
      <w:pPr>
        <w:pStyle w:val="Textoindependiente"/>
        <w:numPr>
          <w:ilvl w:val="0"/>
          <w:numId w:val="1"/>
        </w:numPr>
      </w:pPr>
      <w:r>
        <w:t>Comunicar al Contador Delegado;</w:t>
      </w:r>
      <w:r w:rsidR="00024024">
        <w:t xml:space="preserve"> y</w:t>
      </w:r>
    </w:p>
    <w:p w:rsidR="00210BD4" w:rsidRPr="00210BD4" w:rsidRDefault="00024024" w:rsidP="00210BD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Devolver las actuaciones.</w:t>
      </w:r>
    </w:p>
    <w:p w:rsidR="00210BD4" w:rsidRDefault="00210BD4" w:rsidP="00210BD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0BD4" w:rsidRDefault="00210BD4" w:rsidP="00210BD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0BD4" w:rsidRDefault="00210BD4" w:rsidP="00210BD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0BD4" w:rsidRDefault="00210BD4" w:rsidP="00210BD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0BD4" w:rsidRDefault="00210BD4" w:rsidP="00210BD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0BD4" w:rsidRDefault="00210BD4" w:rsidP="00210BD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0BD4" w:rsidRDefault="00210BD4" w:rsidP="00BF5137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BF14F9" w:rsidRDefault="00BF14F9" w:rsidP="00BF5137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  <w:bookmarkStart w:id="0" w:name="_GoBack"/>
      <w:bookmarkEnd w:id="0"/>
    </w:p>
    <w:p w:rsidR="00210BD4" w:rsidRDefault="00210BD4" w:rsidP="00BF14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210BD4">
        <w:rPr>
          <w:rFonts w:ascii="Arial" w:hAnsi="Arial" w:cs="Arial"/>
          <w:b/>
          <w:sz w:val="24"/>
          <w:szCs w:val="24"/>
          <w:lang w:val="es-UY"/>
        </w:rPr>
        <w:t>CONSTANCIA DE FUNDAMENTO DE VOTO DISCORDE DEL MINISTRO LEON LEV:</w:t>
      </w:r>
      <w:r w:rsidRPr="00210BD4">
        <w:rPr>
          <w:rFonts w:ascii="Arial" w:hAnsi="Arial" w:cs="Arial"/>
          <w:sz w:val="24"/>
          <w:szCs w:val="24"/>
          <w:lang w:val="es-UY"/>
        </w:rPr>
        <w:t xml:space="preserve"> </w:t>
      </w:r>
      <w:r w:rsidR="00BF14F9">
        <w:rPr>
          <w:rFonts w:ascii="Arial" w:hAnsi="Arial" w:cs="Arial"/>
          <w:sz w:val="24"/>
          <w:szCs w:val="24"/>
          <w:lang w:val="es-UY"/>
        </w:rPr>
        <w:t xml:space="preserve">“Dejo constancia de mi voto discorde en este expediente relacionado con la Licitación Pública 01/2014 para la contratación de empresas especializadas en seguridad y vigilancia, por no compartir la interpretación del Art. 48 del </w:t>
      </w:r>
      <w:proofErr w:type="spellStart"/>
      <w:r w:rsidR="00BF14F9">
        <w:rPr>
          <w:rFonts w:ascii="Arial" w:hAnsi="Arial" w:cs="Arial"/>
          <w:sz w:val="24"/>
          <w:szCs w:val="24"/>
          <w:lang w:val="es-UY"/>
        </w:rPr>
        <w:t>Tocaf</w:t>
      </w:r>
      <w:proofErr w:type="spellEnd"/>
      <w:r w:rsidR="00BF14F9">
        <w:rPr>
          <w:rFonts w:ascii="Arial" w:hAnsi="Arial" w:cs="Arial"/>
          <w:sz w:val="24"/>
          <w:szCs w:val="24"/>
          <w:lang w:val="es-UY"/>
        </w:rPr>
        <w:t>”.</w:t>
      </w:r>
    </w:p>
    <w:p w:rsidR="00BF14F9" w:rsidRDefault="00BF14F9" w:rsidP="00BF14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BF14F9" w:rsidRDefault="00BF14F9" w:rsidP="00BF14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BF14F9" w:rsidRDefault="00BF14F9" w:rsidP="00BF14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BF14F9" w:rsidRDefault="00BF14F9" w:rsidP="00BF14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BF14F9" w:rsidRDefault="00BF14F9" w:rsidP="00BF14F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BF14F9" w:rsidRDefault="00BF14F9" w:rsidP="00BF14F9">
      <w:pPr>
        <w:spacing w:after="0" w:line="360" w:lineRule="auto"/>
        <w:ind w:hanging="426"/>
        <w:jc w:val="both"/>
      </w:pPr>
      <w:proofErr w:type="gramStart"/>
      <w:r>
        <w:rPr>
          <w:rFonts w:ascii="Arial" w:hAnsi="Arial" w:cs="Arial"/>
          <w:sz w:val="24"/>
          <w:szCs w:val="24"/>
          <w:lang w:val="es-UY"/>
        </w:rPr>
        <w:t>dc</w:t>
      </w:r>
      <w:proofErr w:type="gramEnd"/>
    </w:p>
    <w:sectPr w:rsidR="00BF14F9" w:rsidSect="00222D6C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288B"/>
    <w:multiLevelType w:val="hybridMultilevel"/>
    <w:tmpl w:val="405A28F0"/>
    <w:lvl w:ilvl="0" w:tplc="079EA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24"/>
    <w:rsid w:val="00024024"/>
    <w:rsid w:val="00210BD4"/>
    <w:rsid w:val="00222D6C"/>
    <w:rsid w:val="00851562"/>
    <w:rsid w:val="00B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3168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PÚBLICA</vt:lpstr>
    </vt:vector>
  </TitlesOfParts>
  <Company>Tribunal de Cuentas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</dc:title>
  <dc:subject/>
  <dc:creator>Tribunal1</dc:creator>
  <cp:keywords/>
  <dc:description/>
  <cp:lastModifiedBy>Lenovo User</cp:lastModifiedBy>
  <cp:revision>2</cp:revision>
  <cp:lastPrinted>2015-01-09T15:28:00Z</cp:lastPrinted>
  <dcterms:created xsi:type="dcterms:W3CDTF">2015-01-23T15:39:00Z</dcterms:created>
  <dcterms:modified xsi:type="dcterms:W3CDTF">2015-01-23T15:39:00Z</dcterms:modified>
</cp:coreProperties>
</file>