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B4" w:rsidRDefault="000F41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F41B4" w:rsidRDefault="000F41B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41B4" w:rsidRDefault="000F41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F41B4" w:rsidRDefault="000F41B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41B4" w:rsidRDefault="000F41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</w:t>
      </w:r>
      <w:r w:rsidR="00842854">
        <w:rPr>
          <w:rFonts w:ascii="Helvetica" w:hAnsi="Helvetica"/>
          <w:b/>
          <w:lang w:val="es-ES_tradnl"/>
        </w:rPr>
        <w:t>ION DE FECHA 14 DE ENERO DE 2015</w:t>
      </w:r>
    </w:p>
    <w:p w:rsidR="000F41B4" w:rsidRDefault="000F41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41B4" w:rsidRDefault="000F41B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2014-17-1-0009605, E. 7633/14)</w:t>
      </w:r>
    </w:p>
    <w:p w:rsidR="000F41B4" w:rsidRDefault="000F41B4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0F41B4" w:rsidRDefault="000F41B4"/>
    <w:p w:rsidR="000F41B4" w:rsidRDefault="000F41B4" w:rsidP="000F41B4">
      <w:pPr>
        <w:tabs>
          <w:tab w:val="right" w:pos="8436"/>
        </w:tabs>
        <w:suppressAutoHyphens/>
        <w:spacing w:line="360" w:lineRule="auto"/>
        <w:ind w:firstLine="851"/>
        <w:jc w:val="both"/>
      </w:pPr>
      <w:r>
        <w:rPr>
          <w:rFonts w:cs="Arial"/>
          <w:b/>
          <w:lang w:val="es-ES_tradnl"/>
        </w:rPr>
        <w:t>VISTO:</w:t>
      </w:r>
      <w:r>
        <w:rPr>
          <w:rFonts w:cs="Arial"/>
          <w:lang w:val="es-ES_tradnl"/>
        </w:rPr>
        <w:t xml:space="preserve"> el expediente remitido por el Ministerio de Economía y Finanzas  relativo a la transferencia d</w:t>
      </w:r>
      <w:r>
        <w:t>el monto anual para el Fondo de Incentivo  para la Gestión de los Municipios, por el ejercicio 2015;</w:t>
      </w:r>
    </w:p>
    <w:p w:rsidR="000F41B4" w:rsidRDefault="000F41B4" w:rsidP="00CC2E0F">
      <w:pPr>
        <w:tabs>
          <w:tab w:val="right" w:pos="8436"/>
        </w:tabs>
        <w:suppressAutoHyphens/>
        <w:spacing w:line="360" w:lineRule="auto"/>
        <w:ind w:firstLine="851"/>
        <w:jc w:val="both"/>
      </w:pPr>
      <w:r>
        <w:rPr>
          <w:rFonts w:cs="Arial"/>
          <w:b/>
          <w:lang w:val="es-ES_tradnl"/>
        </w:rPr>
        <w:t xml:space="preserve">RESULTANDO: 1) </w:t>
      </w:r>
      <w:r>
        <w:rPr>
          <w:rFonts w:cs="Arial"/>
          <w:lang w:val="es-ES_tradnl"/>
        </w:rPr>
        <w:t xml:space="preserve">que la mencionada transferencia </w:t>
      </w:r>
      <w:r>
        <w:t xml:space="preserve">asciende a </w:t>
      </w:r>
      <w:r w:rsidR="00CC2E0F">
        <w:rPr>
          <w:rFonts w:cs="Arial"/>
        </w:rPr>
        <w:t>$</w:t>
      </w:r>
      <w:r>
        <w:rPr>
          <w:rFonts w:cs="Arial"/>
        </w:rPr>
        <w:t>72:268.058</w:t>
      </w:r>
      <w:r>
        <w:t>, y surge del monto vigente para el año 2014, ajustado por la variación del IPC anual;</w:t>
      </w:r>
    </w:p>
    <w:p w:rsidR="000F41B4" w:rsidRDefault="000F41B4" w:rsidP="00CC2E0F">
      <w:pPr>
        <w:tabs>
          <w:tab w:val="right" w:pos="8436"/>
        </w:tabs>
        <w:suppressAutoHyphens/>
        <w:spacing w:line="360" w:lineRule="auto"/>
        <w:ind w:firstLine="2835"/>
        <w:jc w:val="both"/>
        <w:rPr>
          <w:rFonts w:cs="Arial"/>
          <w:b/>
        </w:rPr>
      </w:pPr>
      <w:r w:rsidRPr="00CC2E0F">
        <w:rPr>
          <w:b/>
        </w:rPr>
        <w:t>2)</w:t>
      </w:r>
      <w:r>
        <w:t xml:space="preserve"> que la erogación se atenderá  con cargo al Inciso 24, Unidad Ejecutora 024, Objeto del Gasto 514, Auxiliar 081, Financiación 1.1;</w:t>
      </w:r>
    </w:p>
    <w:p w:rsidR="000F41B4" w:rsidRDefault="000F41B4" w:rsidP="000F41B4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CONSIDERANDO: 1) </w:t>
      </w:r>
      <w:r>
        <w:rPr>
          <w:rFonts w:cs="Arial"/>
          <w:lang w:val="es-ES_tradnl"/>
        </w:rPr>
        <w:t>que las actuaciones se ajustan a lo establecido por el artículo 760 de la Ley de Presupuesto Nº 18.719  de 27 de diciembre de 2010;</w:t>
      </w:r>
    </w:p>
    <w:p w:rsidR="000F41B4" w:rsidRPr="008A1E67" w:rsidRDefault="00CC2E0F" w:rsidP="000F41B4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cs="Arial"/>
          <w:szCs w:val="20"/>
          <w:lang w:val="es-ES_tradnl"/>
        </w:rPr>
      </w:pPr>
      <w:r>
        <w:rPr>
          <w:rFonts w:cs="Arial"/>
          <w:b/>
          <w:lang w:val="es-ES_tradnl"/>
        </w:rPr>
        <w:t xml:space="preserve"> </w:t>
      </w:r>
      <w:r w:rsidR="000F41B4" w:rsidRPr="007A249E">
        <w:rPr>
          <w:rFonts w:cs="Arial"/>
          <w:b/>
          <w:lang w:val="es-ES_tradnl"/>
        </w:rPr>
        <w:t>2)</w:t>
      </w:r>
      <w:r w:rsidR="000F41B4">
        <w:rPr>
          <w:rFonts w:cs="Arial"/>
          <w:b/>
          <w:lang w:val="es-ES_tradnl"/>
        </w:rPr>
        <w:t xml:space="preserve"> </w:t>
      </w:r>
      <w:r w:rsidR="000F41B4">
        <w:rPr>
          <w:rFonts w:cs="Arial"/>
          <w:szCs w:val="20"/>
          <w:lang w:val="es-ES_tradnl"/>
        </w:rPr>
        <w:t>que de las verificaciones efectuadas no existen observaciones que formular;</w:t>
      </w:r>
    </w:p>
    <w:p w:rsidR="000F41B4" w:rsidRDefault="000F41B4" w:rsidP="000F41B4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lang w:val="es-ES_tradnl"/>
        </w:rPr>
        <w:t xml:space="preserve">ATENTO: </w:t>
      </w:r>
      <w:r>
        <w:rPr>
          <w:rFonts w:cs="Arial"/>
          <w:lang w:val="es-ES_tradnl"/>
        </w:rPr>
        <w:t>a lo precedentemente expuesto;</w:t>
      </w:r>
    </w:p>
    <w:p w:rsidR="000F41B4" w:rsidRDefault="000F41B4" w:rsidP="000F41B4">
      <w:pPr>
        <w:spacing w:line="360" w:lineRule="auto"/>
        <w:ind w:firstLine="708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0F41B4" w:rsidRDefault="000F41B4" w:rsidP="00FC4751">
      <w:pPr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Intervenir el gasto por el importe de $ 72:268.058, cometiendo a la Contadora Auditora Destacada ante el Ministerio de Economía y Finanzas  la intervención previo al pago, </w:t>
      </w:r>
      <w:r>
        <w:rPr>
          <w:rFonts w:cs="Arial"/>
          <w:lang w:val="es-ES_tradnl"/>
        </w:rPr>
        <w:t>una vez verificada la emisión de la afectación correspondiente;</w:t>
      </w:r>
    </w:p>
    <w:p w:rsidR="000F41B4" w:rsidRPr="004F4A71" w:rsidRDefault="000F41B4" w:rsidP="000F41B4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4F4A71">
        <w:rPr>
          <w:rFonts w:cs="Arial"/>
        </w:rPr>
        <w:t>Comuníquese a</w:t>
      </w:r>
      <w:r>
        <w:rPr>
          <w:rFonts w:cs="Arial"/>
        </w:rPr>
        <w:t>l Ministerio de Economía y Finanzas</w:t>
      </w:r>
      <w:r w:rsidRPr="004F4A71">
        <w:rPr>
          <w:rFonts w:cs="Arial"/>
        </w:rPr>
        <w:t xml:space="preserve"> y a la  Contadora Auditora </w:t>
      </w:r>
      <w:r w:rsidR="00842854">
        <w:rPr>
          <w:rFonts w:cs="Arial"/>
        </w:rPr>
        <w:t>d</w:t>
      </w:r>
      <w:r w:rsidRPr="004F4A71">
        <w:rPr>
          <w:rFonts w:cs="Arial"/>
        </w:rPr>
        <w:t>estacada.</w:t>
      </w:r>
      <w:r>
        <w:rPr>
          <w:rFonts w:cs="Arial"/>
        </w:rPr>
        <w:t xml:space="preserve"> en dicho Ministerio;</w:t>
      </w:r>
      <w:r w:rsidRPr="004F4A71">
        <w:rPr>
          <w:rFonts w:cs="Arial"/>
        </w:rPr>
        <w:t xml:space="preserve"> y</w:t>
      </w:r>
    </w:p>
    <w:p w:rsidR="00CC2E0F" w:rsidRPr="000F41B4" w:rsidRDefault="000F41B4" w:rsidP="000F41B4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Devuélvase.</w:t>
      </w:r>
    </w:p>
    <w:sectPr w:rsidR="00CC2E0F" w:rsidRPr="000F41B4" w:rsidSect="00805B30">
      <w:pgSz w:w="11906" w:h="16838" w:code="9"/>
      <w:pgMar w:top="283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6C"/>
    <w:multiLevelType w:val="hybridMultilevel"/>
    <w:tmpl w:val="AA5AE3C2"/>
    <w:lvl w:ilvl="0" w:tplc="09B6D6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B4"/>
    <w:rsid w:val="000F41B4"/>
    <w:rsid w:val="00440409"/>
    <w:rsid w:val="005F35FB"/>
    <w:rsid w:val="00805B30"/>
    <w:rsid w:val="00842854"/>
    <w:rsid w:val="00CC2E0F"/>
    <w:rsid w:val="00FA49BB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B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B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5</cp:revision>
  <cp:lastPrinted>2015-01-16T13:17:00Z</cp:lastPrinted>
  <dcterms:created xsi:type="dcterms:W3CDTF">2015-01-16T13:15:00Z</dcterms:created>
  <dcterms:modified xsi:type="dcterms:W3CDTF">2015-02-25T13:52:00Z</dcterms:modified>
</cp:coreProperties>
</file>