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B7" w:rsidRDefault="00D657B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657B7" w:rsidRDefault="00D657B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657B7" w:rsidRDefault="00D657B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657B7" w:rsidRDefault="00D657B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657B7" w:rsidRDefault="00D657B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14 DE ENERO DE 2015</w:t>
      </w:r>
    </w:p>
    <w:p w:rsidR="00D657B7" w:rsidRDefault="00D657B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657B7" w:rsidRDefault="00D657B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(E.E. Nº 2014-17-1-0003635, E. Nº 7605/14)</w:t>
      </w:r>
    </w:p>
    <w:p w:rsidR="00D657B7" w:rsidRDefault="00D657B7">
      <w:pPr>
        <w:tabs>
          <w:tab w:val="center" w:pos="4253"/>
        </w:tabs>
        <w:suppressAutoHyphens/>
        <w:jc w:val="center"/>
        <w:rPr>
          <w:spacing w:val="-3"/>
          <w:lang w:val="es-ES_tradnl"/>
        </w:rPr>
      </w:pPr>
    </w:p>
    <w:p w:rsidR="00D657B7" w:rsidRPr="00B078AE" w:rsidRDefault="00D657B7" w:rsidP="00D657B7">
      <w:pPr>
        <w:pStyle w:val="Textoindependiente"/>
        <w:ind w:firstLine="851"/>
        <w:rPr>
          <w:b/>
          <w:lang w:val="es-ES_tradnl"/>
        </w:rPr>
      </w:pPr>
    </w:p>
    <w:p w:rsidR="00D657B7" w:rsidRDefault="00D657B7" w:rsidP="00D657B7">
      <w:pPr>
        <w:pStyle w:val="Textoindependiente"/>
        <w:ind w:firstLine="851"/>
      </w:pPr>
      <w:r>
        <w:rPr>
          <w:b/>
        </w:rPr>
        <w:t xml:space="preserve">VISTO: </w:t>
      </w:r>
      <w:r>
        <w:t xml:space="preserve">las actuaciones remitidas por la Administración Nacional de Educación Pública, relacionadas con  la reiteración del gasto derivado de la contratación de la empresa Cecilia </w:t>
      </w:r>
      <w:proofErr w:type="spellStart"/>
      <w:r>
        <w:t>Apa</w:t>
      </w:r>
      <w:proofErr w:type="spellEnd"/>
      <w:r>
        <w:t>, para el mantenimiento de sistema de cuadros del Departamento de Estadística Educativa del Consejo de Educación Inicial y Primaria, en el marco de la Licitación Abreviada N° 2/13, hasta el 31/12/13;</w:t>
      </w:r>
    </w:p>
    <w:p w:rsidR="00D657B7" w:rsidRDefault="00D657B7" w:rsidP="00D657B7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RESULTANDO: 1)</w:t>
      </w:r>
      <w:r>
        <w:rPr>
          <w:rFonts w:cs="Arial"/>
        </w:rPr>
        <w:t xml:space="preserve"> que por Resolución Nº 40 de fecha 18/2/13, el Consejo dispuso declarar desierta la Licitación Abreviada Nº 2/13;</w:t>
      </w:r>
    </w:p>
    <w:p w:rsidR="00D657B7" w:rsidRDefault="00B078AE" w:rsidP="00B078AE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D657B7">
        <w:rPr>
          <w:rFonts w:cs="Arial"/>
          <w:b/>
        </w:rPr>
        <w:t>2)</w:t>
      </w:r>
      <w:r w:rsidR="00D657B7">
        <w:rPr>
          <w:rFonts w:cs="Arial"/>
        </w:rPr>
        <w:t xml:space="preserve"> que por Resolución Nº 3 de fecha 16/12/13, el Consejo dispuso autorizar a abonar los servicios prestados por la Firma hasta el 31/12/13;</w:t>
      </w:r>
    </w:p>
    <w:p w:rsidR="00D657B7" w:rsidRDefault="00B078AE" w:rsidP="00B078AE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D657B7">
        <w:rPr>
          <w:rFonts w:cs="Arial"/>
          <w:b/>
        </w:rPr>
        <w:t>3)</w:t>
      </w:r>
      <w:r w:rsidR="00D657B7">
        <w:rPr>
          <w:rFonts w:cs="Arial"/>
        </w:rPr>
        <w:t xml:space="preserve"> que con fecha 18/12/13, la Contadora Delegada observó la legalidad de la contratación, por incumplimiento del Artículo 14 del TOCAF, al no haberse dictado acto administrativo que dispusiera la contratación, y por haber contravenido el Artículo 211 Literal B) de la Constitución de la República;</w:t>
      </w:r>
    </w:p>
    <w:p w:rsidR="00D657B7" w:rsidRDefault="00B078AE" w:rsidP="00B078AE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D657B7">
        <w:rPr>
          <w:rFonts w:cs="Arial"/>
          <w:b/>
        </w:rPr>
        <w:t>4)</w:t>
      </w:r>
      <w:r w:rsidR="00D657B7">
        <w:rPr>
          <w:rFonts w:cs="Arial"/>
        </w:rPr>
        <w:t xml:space="preserve"> que por Resolución Nº 110 de fecha 30/12/13, el Consejo Directivo Central dispuso no reiterar el gasto observado por la Contadora Delegada, y autorizar a la División Hacienda la liquidación y pago de los servicios prestados por la Firma Cecilia </w:t>
      </w:r>
      <w:proofErr w:type="spellStart"/>
      <w:r w:rsidR="00D657B7">
        <w:rPr>
          <w:rFonts w:cs="Arial"/>
        </w:rPr>
        <w:t>Apa</w:t>
      </w:r>
      <w:proofErr w:type="spellEnd"/>
      <w:r w:rsidR="00D657B7">
        <w:rPr>
          <w:rFonts w:cs="Arial"/>
        </w:rPr>
        <w:t xml:space="preserve"> hasta el 31/12/13 para evitar el enriquecimiento indebido del Estado;</w:t>
      </w:r>
    </w:p>
    <w:p w:rsidR="00D657B7" w:rsidRDefault="00B078AE" w:rsidP="00B078AE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lastRenderedPageBreak/>
        <w:t xml:space="preserve"> </w:t>
      </w:r>
      <w:r w:rsidR="00D657B7">
        <w:rPr>
          <w:rFonts w:cs="Arial"/>
          <w:b/>
        </w:rPr>
        <w:t xml:space="preserve">5) </w:t>
      </w:r>
      <w:r w:rsidR="00D657B7">
        <w:rPr>
          <w:rFonts w:cs="Arial"/>
        </w:rPr>
        <w:t>que con fecha 17/1/14, la Contadora Delegada, conforme lo dispuesto por el Artículo 112 del TOCAF,  formuló consulta a este Tribunal respecto a la intervención correspondiente al momento del pago;</w:t>
      </w:r>
    </w:p>
    <w:p w:rsidR="00D657B7" w:rsidRDefault="00B078AE" w:rsidP="00B078AE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D657B7">
        <w:rPr>
          <w:rFonts w:cs="Arial"/>
          <w:b/>
        </w:rPr>
        <w:t>6)</w:t>
      </w:r>
      <w:r w:rsidR="00D657B7">
        <w:rPr>
          <w:rFonts w:cs="Arial"/>
        </w:rPr>
        <w:t xml:space="preserve"> que este Tribunal, en Sesión de fecha 5/2/14, acordó señalar que a efectos del cumplimiento de la normativa vigente, el Organismo actuante, en caso de que quiera proceder a autorizar el pago, deberá reiterar el gasto y comunicarlo a este Organismo;</w:t>
      </w:r>
    </w:p>
    <w:p w:rsidR="00D657B7" w:rsidRDefault="00B078AE" w:rsidP="00B078AE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D657B7">
        <w:rPr>
          <w:rFonts w:cs="Arial"/>
          <w:b/>
        </w:rPr>
        <w:t>7)</w:t>
      </w:r>
      <w:r w:rsidR="00D657B7">
        <w:rPr>
          <w:rFonts w:cs="Arial"/>
        </w:rPr>
        <w:t xml:space="preserve"> que por Resolución Nº 21 de fecha 1º/4/14, el Consejo Directivo Central dispuso rectificar su Resolución Nº 110 de fecha 30/12/13 y en consecuencia reiterar el gasto observado por la Contadora Delegada, y autorizar a la División Hacienda la liquidación y pago de los servicios prestados por la Firma Cecilia </w:t>
      </w:r>
      <w:proofErr w:type="spellStart"/>
      <w:r w:rsidR="00D657B7">
        <w:rPr>
          <w:rFonts w:cs="Arial"/>
        </w:rPr>
        <w:t>Apa</w:t>
      </w:r>
      <w:proofErr w:type="spellEnd"/>
      <w:r w:rsidR="00D657B7">
        <w:rPr>
          <w:rFonts w:cs="Arial"/>
        </w:rPr>
        <w:t>, hasta el 31/12/13 para evitar el enriquecimiento indebido del Estado;</w:t>
      </w:r>
    </w:p>
    <w:p w:rsidR="00D657B7" w:rsidRDefault="00D657B7" w:rsidP="00D657B7">
      <w:pPr>
        <w:spacing w:line="360" w:lineRule="auto"/>
        <w:ind w:firstLine="851"/>
        <w:jc w:val="both"/>
        <w:rPr>
          <w:bCs/>
          <w:lang w:val="es-MX"/>
        </w:rPr>
      </w:pPr>
      <w:r>
        <w:rPr>
          <w:b/>
          <w:bCs/>
          <w:lang w:val="es-MX"/>
        </w:rPr>
        <w:t>CONSIDERANDO: 1)</w:t>
      </w:r>
      <w:r>
        <w:rPr>
          <w:bCs/>
          <w:lang w:val="es-MX"/>
        </w:rPr>
        <w:t xml:space="preserve"> que la Administración procede a la reiteración del gasto por considerarlo pertinente a efect</w:t>
      </w:r>
      <w:r w:rsidR="003E6BC6">
        <w:rPr>
          <w:bCs/>
          <w:lang w:val="es-MX"/>
        </w:rPr>
        <w:t>os de la autorización del pago;</w:t>
      </w:r>
    </w:p>
    <w:p w:rsidR="00D657B7" w:rsidRDefault="00B078AE" w:rsidP="00B078AE">
      <w:pPr>
        <w:spacing w:line="360" w:lineRule="auto"/>
        <w:ind w:firstLine="2977"/>
        <w:jc w:val="both"/>
        <w:rPr>
          <w:lang w:val="es-MX"/>
        </w:rPr>
      </w:pPr>
      <w:r>
        <w:rPr>
          <w:b/>
          <w:bCs/>
          <w:lang w:val="es-MX"/>
        </w:rPr>
        <w:t xml:space="preserve"> </w:t>
      </w:r>
      <w:r w:rsidR="00D657B7">
        <w:rPr>
          <w:b/>
          <w:bCs/>
          <w:lang w:val="es-MX"/>
        </w:rPr>
        <w:t>2)</w:t>
      </w:r>
      <w:r w:rsidR="00D657B7">
        <w:rPr>
          <w:bCs/>
          <w:lang w:val="es-MX"/>
        </w:rPr>
        <w:t xml:space="preserve"> </w:t>
      </w:r>
      <w:r w:rsidR="00D657B7">
        <w:rPr>
          <w:lang w:val="es-MX"/>
        </w:rPr>
        <w:t>que sin perjuicio, se mantienen incambiadas las causales que ameritaron la observación oportunamente formulada;</w:t>
      </w:r>
    </w:p>
    <w:p w:rsidR="00D657B7" w:rsidRDefault="00D657B7" w:rsidP="00D657B7">
      <w:pPr>
        <w:spacing w:line="360" w:lineRule="auto"/>
        <w:ind w:firstLine="851"/>
        <w:jc w:val="both"/>
        <w:rPr>
          <w:lang w:val="es-MX"/>
        </w:rPr>
      </w:pPr>
      <w:r>
        <w:rPr>
          <w:b/>
          <w:bCs/>
          <w:lang w:val="es-MX"/>
        </w:rPr>
        <w:t>ATENTO:</w:t>
      </w:r>
      <w:r>
        <w:rPr>
          <w:lang w:val="es-MX"/>
        </w:rPr>
        <w:t xml:space="preserve"> a lo expuesto y a lo dispuesto por el Artículo 211 Literal B) de la Constitución de la República;</w:t>
      </w:r>
    </w:p>
    <w:p w:rsidR="00D657B7" w:rsidRDefault="00D657B7" w:rsidP="00D657B7">
      <w:pPr>
        <w:pStyle w:val="Ttulo3"/>
        <w:ind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TRIBUNAL ACUERDA</w:t>
      </w:r>
    </w:p>
    <w:p w:rsidR="00D657B7" w:rsidRDefault="00D657B7" w:rsidP="00D657B7">
      <w:pPr>
        <w:pStyle w:val="Textoindependiente"/>
        <w:numPr>
          <w:ilvl w:val="0"/>
          <w:numId w:val="1"/>
        </w:numPr>
        <w:rPr>
          <w:bCs/>
        </w:rPr>
      </w:pPr>
      <w:r>
        <w:rPr>
          <w:bCs/>
        </w:rPr>
        <w:t>Mantener la observación formulada con fecha 18/12/13;</w:t>
      </w:r>
    </w:p>
    <w:p w:rsidR="00D657B7" w:rsidRDefault="00D657B7" w:rsidP="00D657B7">
      <w:pPr>
        <w:pStyle w:val="Textoindependiente"/>
        <w:numPr>
          <w:ilvl w:val="0"/>
          <w:numId w:val="1"/>
        </w:numPr>
        <w:rPr>
          <w:bCs/>
        </w:rPr>
      </w:pPr>
      <w:r>
        <w:rPr>
          <w:bCs/>
        </w:rPr>
        <w:t>Dar cuenta a la Asamblea General; y</w:t>
      </w:r>
    </w:p>
    <w:p w:rsidR="00B078AE" w:rsidRPr="003E6BC6" w:rsidRDefault="00D657B7" w:rsidP="003E6BC6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Devolver los antecedentes.</w:t>
      </w:r>
    </w:p>
    <w:sectPr w:rsidR="00B078AE" w:rsidRPr="003E6BC6" w:rsidSect="00485146">
      <w:pgSz w:w="11906" w:h="16838"/>
      <w:pgMar w:top="2835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0782D"/>
    <w:multiLevelType w:val="hybridMultilevel"/>
    <w:tmpl w:val="86AC030A"/>
    <w:lvl w:ilvl="0" w:tplc="E4E016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B7"/>
    <w:rsid w:val="003E6BC6"/>
    <w:rsid w:val="00440409"/>
    <w:rsid w:val="00485146"/>
    <w:rsid w:val="005F35FB"/>
    <w:rsid w:val="00B078AE"/>
    <w:rsid w:val="00D657B7"/>
    <w:rsid w:val="00F1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B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D657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657B7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D657B7"/>
    <w:pPr>
      <w:spacing w:line="360" w:lineRule="auto"/>
      <w:jc w:val="both"/>
    </w:pPr>
    <w:rPr>
      <w:rFonts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657B7"/>
    <w:rPr>
      <w:rFonts w:ascii="Arial" w:eastAsia="Times New Roman" w:hAnsi="Arial" w:cs="Arial"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B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D657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657B7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D657B7"/>
    <w:pPr>
      <w:spacing w:line="360" w:lineRule="auto"/>
      <w:jc w:val="both"/>
    </w:pPr>
    <w:rPr>
      <w:rFonts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657B7"/>
    <w:rPr>
      <w:rFonts w:ascii="Arial" w:eastAsia="Times New Roman" w:hAnsi="Arial" w:cs="Arial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4</cp:revision>
  <cp:lastPrinted>2015-01-22T14:30:00Z</cp:lastPrinted>
  <dcterms:created xsi:type="dcterms:W3CDTF">2015-01-22T14:26:00Z</dcterms:created>
  <dcterms:modified xsi:type="dcterms:W3CDTF">2015-02-23T16:54:00Z</dcterms:modified>
</cp:coreProperties>
</file>