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A8B" w:rsidRPr="00B14A8B" w:rsidRDefault="00B14A8B" w:rsidP="00B14A8B">
      <w:pPr>
        <w:tabs>
          <w:tab w:val="center" w:pos="4253"/>
        </w:tabs>
        <w:suppressAutoHyphens/>
        <w:jc w:val="center"/>
        <w:rPr>
          <w:rFonts w:ascii="Arial" w:hAnsi="Arial" w:cs="Arial"/>
          <w:szCs w:val="24"/>
          <w:lang w:val="es-ES_tradnl"/>
        </w:rPr>
      </w:pPr>
      <w:r w:rsidRPr="00B14A8B">
        <w:rPr>
          <w:rFonts w:ascii="Arial" w:hAnsi="Arial" w:cs="Arial"/>
          <w:szCs w:val="24"/>
          <w:lang w:val="es-ES_tradnl"/>
        </w:rPr>
        <w:t>RESOLUCION ADOPTADA POR EL</w:t>
      </w:r>
    </w:p>
    <w:p w:rsidR="00B14A8B" w:rsidRPr="00B14A8B" w:rsidRDefault="00B14A8B" w:rsidP="00B14A8B">
      <w:pPr>
        <w:tabs>
          <w:tab w:val="left" w:pos="-720"/>
        </w:tabs>
        <w:suppressAutoHyphens/>
        <w:jc w:val="center"/>
        <w:rPr>
          <w:rFonts w:ascii="Arial" w:hAnsi="Arial" w:cs="Arial"/>
          <w:szCs w:val="24"/>
          <w:lang w:val="es-ES_tradnl"/>
        </w:rPr>
      </w:pPr>
    </w:p>
    <w:p w:rsidR="00B14A8B" w:rsidRPr="00B14A8B" w:rsidRDefault="00B14A8B" w:rsidP="00B14A8B">
      <w:pPr>
        <w:tabs>
          <w:tab w:val="center" w:pos="4253"/>
        </w:tabs>
        <w:suppressAutoHyphens/>
        <w:jc w:val="center"/>
        <w:rPr>
          <w:rFonts w:ascii="Arial" w:hAnsi="Arial" w:cs="Arial"/>
          <w:szCs w:val="24"/>
          <w:lang w:val="es-ES_tradnl"/>
        </w:rPr>
      </w:pPr>
      <w:r w:rsidRPr="00B14A8B">
        <w:rPr>
          <w:rFonts w:ascii="Arial" w:hAnsi="Arial" w:cs="Arial"/>
          <w:szCs w:val="24"/>
          <w:lang w:val="es-ES_tradnl"/>
        </w:rPr>
        <w:t>TRIBUNAL DE CUENTAS</w:t>
      </w:r>
    </w:p>
    <w:p w:rsidR="00B14A8B" w:rsidRPr="00B14A8B" w:rsidRDefault="00B14A8B" w:rsidP="00B14A8B">
      <w:pPr>
        <w:tabs>
          <w:tab w:val="left" w:pos="-720"/>
        </w:tabs>
        <w:suppressAutoHyphens/>
        <w:jc w:val="center"/>
        <w:rPr>
          <w:rFonts w:ascii="Arial" w:hAnsi="Arial" w:cs="Arial"/>
          <w:szCs w:val="24"/>
          <w:lang w:val="es-ES_tradnl"/>
        </w:rPr>
      </w:pPr>
    </w:p>
    <w:p w:rsidR="00B14A8B" w:rsidRPr="00B14A8B" w:rsidRDefault="00B14A8B" w:rsidP="00B14A8B">
      <w:pPr>
        <w:tabs>
          <w:tab w:val="center" w:pos="4253"/>
        </w:tabs>
        <w:suppressAutoHyphens/>
        <w:jc w:val="center"/>
        <w:rPr>
          <w:rFonts w:ascii="Arial" w:hAnsi="Arial" w:cs="Arial"/>
          <w:szCs w:val="24"/>
          <w:lang w:val="es-ES_tradnl"/>
        </w:rPr>
      </w:pPr>
      <w:r w:rsidRPr="00B14A8B">
        <w:rPr>
          <w:rFonts w:ascii="Arial" w:hAnsi="Arial" w:cs="Arial"/>
          <w:szCs w:val="24"/>
          <w:lang w:val="es-ES_tradnl"/>
        </w:rPr>
        <w:t>EN SESION DE FECHA  21  DE ENERO DE  2015</w:t>
      </w:r>
    </w:p>
    <w:p w:rsidR="00B14A8B" w:rsidRPr="00B14A8B" w:rsidRDefault="00B14A8B" w:rsidP="00B14A8B">
      <w:pPr>
        <w:tabs>
          <w:tab w:val="center" w:pos="4253"/>
        </w:tabs>
        <w:suppressAutoHyphens/>
        <w:jc w:val="center"/>
        <w:rPr>
          <w:rFonts w:ascii="Arial" w:hAnsi="Arial" w:cs="Arial"/>
          <w:szCs w:val="24"/>
          <w:lang w:val="es-ES_tradnl"/>
        </w:rPr>
      </w:pPr>
    </w:p>
    <w:p w:rsidR="00B14A8B" w:rsidRPr="00B14A8B" w:rsidRDefault="00B14A8B" w:rsidP="00B14A8B">
      <w:pPr>
        <w:tabs>
          <w:tab w:val="center" w:pos="4253"/>
        </w:tabs>
        <w:suppressAutoHyphens/>
        <w:jc w:val="center"/>
        <w:rPr>
          <w:rFonts w:ascii="Arial" w:hAnsi="Arial" w:cs="Arial"/>
          <w:szCs w:val="24"/>
          <w:lang w:val="es-ES_tradnl"/>
        </w:rPr>
      </w:pPr>
      <w:r w:rsidRPr="00B14A8B">
        <w:rPr>
          <w:rFonts w:ascii="Arial" w:hAnsi="Arial" w:cs="Arial"/>
          <w:szCs w:val="24"/>
          <w:lang w:val="es-ES_tradnl"/>
        </w:rPr>
        <w:t>(E. E. Nº 201</w:t>
      </w:r>
      <w:r w:rsidRPr="00B14A8B">
        <w:rPr>
          <w:rFonts w:ascii="Arial" w:hAnsi="Arial" w:cs="Arial"/>
          <w:szCs w:val="24"/>
          <w:lang w:val="es-ES_tradnl"/>
        </w:rPr>
        <w:t>4</w:t>
      </w:r>
      <w:r w:rsidRPr="00B14A8B">
        <w:rPr>
          <w:rFonts w:ascii="Arial" w:hAnsi="Arial" w:cs="Arial"/>
          <w:szCs w:val="24"/>
          <w:lang w:val="es-ES_tradnl"/>
        </w:rPr>
        <w:t>-17-1-000</w:t>
      </w:r>
      <w:r>
        <w:rPr>
          <w:rFonts w:ascii="Arial" w:hAnsi="Arial" w:cs="Arial"/>
          <w:szCs w:val="24"/>
          <w:lang w:val="es-ES_tradnl"/>
        </w:rPr>
        <w:t>5773</w:t>
      </w:r>
      <w:r w:rsidRPr="00B14A8B">
        <w:rPr>
          <w:rFonts w:ascii="Arial" w:hAnsi="Arial" w:cs="Arial"/>
          <w:szCs w:val="24"/>
          <w:lang w:val="es-ES_tradnl"/>
        </w:rPr>
        <w:t xml:space="preserve">, </w:t>
      </w:r>
      <w:proofErr w:type="spellStart"/>
      <w:r w:rsidRPr="00B14A8B">
        <w:rPr>
          <w:rFonts w:ascii="Arial" w:hAnsi="Arial" w:cs="Arial"/>
          <w:szCs w:val="24"/>
          <w:lang w:val="es-ES_tradnl"/>
        </w:rPr>
        <w:t>Ent</w:t>
      </w:r>
      <w:proofErr w:type="spellEnd"/>
      <w:r w:rsidRPr="00B14A8B">
        <w:rPr>
          <w:rFonts w:ascii="Arial" w:hAnsi="Arial" w:cs="Arial"/>
          <w:szCs w:val="24"/>
          <w:lang w:val="es-ES_tradnl"/>
        </w:rPr>
        <w:t>. N°</w:t>
      </w:r>
      <w:r>
        <w:rPr>
          <w:rFonts w:ascii="Arial" w:hAnsi="Arial" w:cs="Arial"/>
          <w:szCs w:val="24"/>
          <w:lang w:val="es-ES_tradnl"/>
        </w:rPr>
        <w:t xml:space="preserve"> 26</w:t>
      </w:r>
      <w:r w:rsidRPr="00B14A8B">
        <w:rPr>
          <w:rFonts w:ascii="Arial" w:hAnsi="Arial" w:cs="Arial"/>
          <w:szCs w:val="24"/>
          <w:lang w:val="es-ES_tradnl"/>
        </w:rPr>
        <w:t>/15)</w:t>
      </w:r>
    </w:p>
    <w:p w:rsidR="00B14A8B" w:rsidRDefault="00B14A8B" w:rsidP="00F34FFF">
      <w:pPr>
        <w:pStyle w:val="Ttulo1"/>
        <w:spacing w:line="360" w:lineRule="auto"/>
        <w:jc w:val="both"/>
        <w:rPr>
          <w:rFonts w:ascii="Arial" w:hAnsi="Arial" w:cs="Arial"/>
        </w:rPr>
      </w:pPr>
    </w:p>
    <w:p w:rsidR="00F34FFF" w:rsidRDefault="00F34FFF" w:rsidP="00F34FFF">
      <w:pPr>
        <w:pStyle w:val="Textoindependiente"/>
        <w:ind w:firstLine="360"/>
        <w:rPr>
          <w:rFonts w:cs="Arial"/>
          <w:bCs w:val="0"/>
        </w:rPr>
      </w:pPr>
    </w:p>
    <w:p w:rsidR="00F34FFF" w:rsidRDefault="00F34FFF" w:rsidP="00576BEB">
      <w:pPr>
        <w:pStyle w:val="Textoindependiente"/>
        <w:ind w:firstLine="851"/>
        <w:rPr>
          <w:rFonts w:cs="Arial"/>
        </w:rPr>
      </w:pPr>
      <w:r>
        <w:rPr>
          <w:rFonts w:cs="Arial"/>
          <w:b/>
          <w:bCs w:val="0"/>
        </w:rPr>
        <w:t>VISTO:</w:t>
      </w:r>
      <w:r>
        <w:rPr>
          <w:rFonts w:cs="Arial"/>
        </w:rPr>
        <w:t xml:space="preserve"> las </w:t>
      </w:r>
      <w:r w:rsidR="00D67E71">
        <w:rPr>
          <w:rFonts w:cs="Arial"/>
        </w:rPr>
        <w:t xml:space="preserve">nuevas </w:t>
      </w:r>
      <w:r>
        <w:rPr>
          <w:rFonts w:cs="Arial"/>
        </w:rPr>
        <w:t>actuaciones remitidas por el Ministerio de Economía y Finanzas – Unidad Centralizada de Adquisiciones– (UCA), relacionadas con el Llamado Nº 12/2014 convocado para la adquisición de ‘</w:t>
      </w:r>
      <w:r w:rsidR="00D67E71">
        <w:rPr>
          <w:rFonts w:cs="Arial"/>
        </w:rPr>
        <w:t>a</w:t>
      </w:r>
      <w:r>
        <w:rPr>
          <w:rFonts w:cs="Arial"/>
        </w:rPr>
        <w:t xml:space="preserve">rroz’, </w:t>
      </w:r>
      <w:r>
        <w:rPr>
          <w:bCs w:val="0"/>
        </w:rPr>
        <w:t xml:space="preserve">en las variedades Grado 1 (2A), Grado 3 (2B) y </w:t>
      </w:r>
      <w:proofErr w:type="spellStart"/>
      <w:r>
        <w:rPr>
          <w:bCs w:val="0"/>
        </w:rPr>
        <w:t>Parboiled</w:t>
      </w:r>
      <w:proofErr w:type="spellEnd"/>
      <w:r>
        <w:rPr>
          <w:bCs w:val="0"/>
        </w:rPr>
        <w:t xml:space="preserve"> (</w:t>
      </w:r>
      <w:smartTag w:uri="urn:schemas-microsoft-com:office:smarttags" w:element="metricconverter">
        <w:smartTagPr>
          <w:attr w:name="ProductID" w:val="2C"/>
        </w:smartTagPr>
        <w:r>
          <w:rPr>
            <w:bCs w:val="0"/>
          </w:rPr>
          <w:t>2C</w:t>
        </w:r>
      </w:smartTag>
      <w:r>
        <w:rPr>
          <w:bCs w:val="0"/>
        </w:rPr>
        <w:t xml:space="preserve">), por un total de 469.920 </w:t>
      </w:r>
      <w:proofErr w:type="spellStart"/>
      <w:r>
        <w:rPr>
          <w:bCs w:val="0"/>
        </w:rPr>
        <w:t>kgs</w:t>
      </w:r>
      <w:proofErr w:type="spellEnd"/>
      <w:r>
        <w:rPr>
          <w:bCs w:val="0"/>
        </w:rPr>
        <w:t>., para cubrir las necesidades de diversos Organismos por el período estimado de un semestre</w:t>
      </w:r>
      <w:r>
        <w:rPr>
          <w:rFonts w:cs="Arial"/>
        </w:rPr>
        <w:t xml:space="preserve">; </w:t>
      </w:r>
    </w:p>
    <w:p w:rsidR="00F34FFF" w:rsidRDefault="00F34FFF" w:rsidP="0083210D">
      <w:pPr>
        <w:spacing w:line="360" w:lineRule="auto"/>
        <w:ind w:firstLine="851"/>
        <w:jc w:val="both"/>
        <w:rPr>
          <w:rFonts w:ascii="Arial" w:hAnsi="Arial" w:cs="Arial"/>
          <w:b w:val="0"/>
          <w:bCs/>
        </w:rPr>
      </w:pPr>
      <w:r>
        <w:rPr>
          <w:rFonts w:ascii="Arial" w:hAnsi="Arial" w:cs="Arial"/>
          <w:bCs/>
        </w:rPr>
        <w:t>RESULTANDO:</w:t>
      </w:r>
      <w:r>
        <w:rPr>
          <w:rFonts w:ascii="Arial" w:hAnsi="Arial" w:cs="Arial"/>
          <w:b w:val="0"/>
          <w:bCs/>
        </w:rPr>
        <w:t xml:space="preserve"> </w:t>
      </w:r>
      <w:r w:rsidRPr="00D67E71">
        <w:rPr>
          <w:rFonts w:ascii="Arial" w:hAnsi="Arial" w:cs="Arial"/>
          <w:bCs/>
        </w:rPr>
        <w:t>1)</w:t>
      </w:r>
      <w:r w:rsidRPr="00D67E71">
        <w:rPr>
          <w:rFonts w:ascii="Arial" w:hAnsi="Arial" w:cs="Arial"/>
          <w:b w:val="0"/>
          <w:bCs/>
        </w:rPr>
        <w:t xml:space="preserve"> </w:t>
      </w:r>
      <w:r w:rsidRPr="00D67E71">
        <w:rPr>
          <w:rFonts w:ascii="Arial" w:hAnsi="Arial" w:cs="Arial"/>
          <w:b w:val="0"/>
        </w:rPr>
        <w:t xml:space="preserve">que por Resolución Nº </w:t>
      </w:r>
      <w:r w:rsidRPr="00D67E71">
        <w:rPr>
          <w:rFonts w:ascii="Arial" w:hAnsi="Arial" w:cs="Arial"/>
          <w:b w:val="0"/>
          <w:bCs/>
        </w:rPr>
        <w:t xml:space="preserve">80/014 </w:t>
      </w:r>
      <w:r w:rsidRPr="00D67E71">
        <w:rPr>
          <w:rFonts w:ascii="Arial" w:hAnsi="Arial" w:cs="Arial"/>
          <w:b w:val="0"/>
        </w:rPr>
        <w:t xml:space="preserve">de fecha </w:t>
      </w:r>
      <w:r w:rsidRPr="00D67E71">
        <w:rPr>
          <w:rFonts w:ascii="Arial" w:hAnsi="Arial" w:cs="Arial"/>
          <w:b w:val="0"/>
          <w:bCs/>
        </w:rPr>
        <w:t>9 de juli</w:t>
      </w:r>
      <w:r w:rsidR="003939D3">
        <w:rPr>
          <w:rFonts w:ascii="Arial" w:hAnsi="Arial" w:cs="Arial"/>
          <w:b w:val="0"/>
          <w:bCs/>
        </w:rPr>
        <w:t>o de 2014 de la UCA, se adjudicó</w:t>
      </w:r>
      <w:r w:rsidRPr="00D67E71">
        <w:rPr>
          <w:rFonts w:ascii="Arial" w:hAnsi="Arial" w:cs="Arial"/>
          <w:b w:val="0"/>
          <w:bCs/>
        </w:rPr>
        <w:t xml:space="preserve"> el </w:t>
      </w:r>
      <w:r w:rsidR="003939D3">
        <w:rPr>
          <w:rFonts w:ascii="Arial" w:hAnsi="Arial" w:cs="Arial"/>
          <w:b w:val="0"/>
          <w:bCs/>
        </w:rPr>
        <w:t>l</w:t>
      </w:r>
      <w:r w:rsidRPr="00D67E71">
        <w:rPr>
          <w:rFonts w:ascii="Arial" w:hAnsi="Arial" w:cs="Arial"/>
          <w:b w:val="0"/>
          <w:bCs/>
        </w:rPr>
        <w:t xml:space="preserve">lamado en las variedades Grado 1 y </w:t>
      </w:r>
      <w:proofErr w:type="spellStart"/>
      <w:r w:rsidRPr="00D67E71">
        <w:rPr>
          <w:rFonts w:ascii="Arial" w:hAnsi="Arial" w:cs="Arial"/>
          <w:b w:val="0"/>
          <w:bCs/>
        </w:rPr>
        <w:t>Parboiled</w:t>
      </w:r>
      <w:proofErr w:type="spellEnd"/>
      <w:r w:rsidRPr="00D67E71">
        <w:rPr>
          <w:rFonts w:ascii="Arial" w:hAnsi="Arial" w:cs="Arial"/>
          <w:b w:val="0"/>
          <w:bCs/>
        </w:rPr>
        <w:t xml:space="preserve">,  a las firmas </w:t>
      </w:r>
      <w:proofErr w:type="spellStart"/>
      <w:r w:rsidRPr="00D67E71">
        <w:rPr>
          <w:rFonts w:ascii="Arial" w:hAnsi="Arial" w:cs="Arial"/>
          <w:b w:val="0"/>
          <w:bCs/>
        </w:rPr>
        <w:t>Durefox</w:t>
      </w:r>
      <w:proofErr w:type="spellEnd"/>
      <w:r w:rsidRPr="00D67E71">
        <w:rPr>
          <w:rFonts w:ascii="Arial" w:hAnsi="Arial" w:cs="Arial"/>
          <w:b w:val="0"/>
          <w:bCs/>
        </w:rPr>
        <w:t xml:space="preserve"> S.A. y SAMAN, por hasta las cantidades máximas expresadas en el detalle adjunto, las que podrán ampliarse en hasta aproximadamente un 30% según Cláusula 2.1 “Condiciones Específicas” del Pliego de Condiciones Particulares, a valores de oferta; total adjudicado en kilos: Grado 1</w:t>
      </w:r>
      <w:r w:rsidR="003939D3">
        <w:rPr>
          <w:rFonts w:ascii="Arial" w:hAnsi="Arial" w:cs="Arial"/>
          <w:b w:val="0"/>
          <w:bCs/>
        </w:rPr>
        <w:t>:</w:t>
      </w:r>
      <w:r w:rsidRPr="00D67E71">
        <w:rPr>
          <w:rFonts w:ascii="Arial" w:hAnsi="Arial" w:cs="Arial"/>
          <w:b w:val="0"/>
          <w:bCs/>
        </w:rPr>
        <w:t xml:space="preserve"> 24.613 y </w:t>
      </w:r>
      <w:proofErr w:type="spellStart"/>
      <w:r w:rsidRPr="00D67E71">
        <w:rPr>
          <w:rFonts w:ascii="Arial" w:hAnsi="Arial" w:cs="Arial"/>
          <w:b w:val="0"/>
          <w:bCs/>
        </w:rPr>
        <w:t>Parboiled</w:t>
      </w:r>
      <w:proofErr w:type="spellEnd"/>
      <w:r w:rsidR="003939D3">
        <w:rPr>
          <w:rFonts w:ascii="Arial" w:hAnsi="Arial" w:cs="Arial"/>
          <w:b w:val="0"/>
          <w:bCs/>
        </w:rPr>
        <w:t xml:space="preserve">: </w:t>
      </w:r>
      <w:r w:rsidRPr="00D67E71">
        <w:rPr>
          <w:rFonts w:ascii="Arial" w:hAnsi="Arial" w:cs="Arial"/>
          <w:b w:val="0"/>
          <w:bCs/>
        </w:rPr>
        <w:t>206.950;</w:t>
      </w:r>
    </w:p>
    <w:p w:rsidR="003939D3" w:rsidRDefault="003939D3" w:rsidP="0083210D">
      <w:pPr>
        <w:spacing w:line="360" w:lineRule="auto"/>
        <w:ind w:firstLine="2694"/>
        <w:jc w:val="both"/>
        <w:rPr>
          <w:rFonts w:ascii="Arial" w:hAnsi="Arial" w:cs="Arial"/>
          <w:b w:val="0"/>
          <w:lang w:val="es-UY"/>
        </w:rPr>
      </w:pPr>
      <w:r>
        <w:rPr>
          <w:rFonts w:ascii="Arial" w:hAnsi="Arial" w:cs="Arial"/>
          <w:bCs/>
        </w:rPr>
        <w:t xml:space="preserve">2) </w:t>
      </w:r>
      <w:r>
        <w:rPr>
          <w:rFonts w:ascii="Arial" w:hAnsi="Arial" w:cs="Arial"/>
          <w:b w:val="0"/>
          <w:bCs/>
        </w:rPr>
        <w:t xml:space="preserve">que este Tribunal en </w:t>
      </w:r>
      <w:r w:rsidR="0083210D">
        <w:rPr>
          <w:rFonts w:ascii="Arial" w:hAnsi="Arial" w:cs="Arial"/>
          <w:b w:val="0"/>
          <w:bCs/>
        </w:rPr>
        <w:t>S</w:t>
      </w:r>
      <w:r>
        <w:rPr>
          <w:rFonts w:ascii="Arial" w:hAnsi="Arial" w:cs="Arial"/>
          <w:b w:val="0"/>
          <w:bCs/>
        </w:rPr>
        <w:t xml:space="preserve">esión de fecha 6 de agosto del 2014, acordó cometer </w:t>
      </w:r>
      <w:r>
        <w:rPr>
          <w:rFonts w:ascii="Arial" w:hAnsi="Arial" w:cs="Arial"/>
          <w:b w:val="0"/>
          <w:lang w:val="es-UY"/>
        </w:rPr>
        <w:t>a la Contadora Auditora destacada ante</w:t>
      </w:r>
      <w:r>
        <w:rPr>
          <w:rFonts w:ascii="Arial" w:hAnsi="Arial" w:cs="Arial"/>
          <w:b w:val="0"/>
        </w:rPr>
        <w:t xml:space="preserve"> el Ministerio de Economía y Finanzas</w:t>
      </w:r>
      <w:r>
        <w:rPr>
          <w:rFonts w:ascii="Arial" w:hAnsi="Arial" w:cs="Arial"/>
          <w:b w:val="0"/>
          <w:lang w:val="es-UY"/>
        </w:rPr>
        <w:t xml:space="preserve"> la intervención del gasto correspondiente al Llamado N° 12/2014,</w:t>
      </w:r>
      <w:r>
        <w:rPr>
          <w:rFonts w:ascii="Arial" w:hAnsi="Arial" w:cs="Arial"/>
          <w:b w:val="0"/>
        </w:rPr>
        <w:t xml:space="preserve"> para la adquisición </w:t>
      </w:r>
      <w:r>
        <w:rPr>
          <w:rFonts w:ascii="Arial" w:hAnsi="Arial" w:cs="Arial"/>
          <w:b w:val="0"/>
          <w:lang w:val="es-UY"/>
        </w:rPr>
        <w:t>de arroz, por un período estimado de 6 meses, adjudicado a las firmas: DUREFOX S.A. y SAMAN, previo control de su imputación al Objeto del gasto adecuado con disponibilidad suficiente;</w:t>
      </w:r>
    </w:p>
    <w:p w:rsidR="00AE472C" w:rsidRDefault="003939D3" w:rsidP="0083210D">
      <w:pPr>
        <w:spacing w:line="360" w:lineRule="auto"/>
        <w:ind w:firstLine="2694"/>
        <w:jc w:val="both"/>
        <w:rPr>
          <w:rFonts w:ascii="Arial" w:hAnsi="Arial" w:cs="Arial"/>
          <w:b w:val="0"/>
          <w:bCs/>
        </w:rPr>
      </w:pPr>
      <w:r>
        <w:rPr>
          <w:rFonts w:ascii="Arial" w:hAnsi="Arial" w:cs="Arial"/>
          <w:lang w:val="es-UY"/>
        </w:rPr>
        <w:t xml:space="preserve">3) </w:t>
      </w:r>
      <w:r w:rsidR="00557D2C">
        <w:rPr>
          <w:rFonts w:ascii="Arial" w:hAnsi="Arial" w:cs="Arial"/>
          <w:b w:val="0"/>
          <w:lang w:val="es-UY"/>
        </w:rPr>
        <w:t xml:space="preserve">que </w:t>
      </w:r>
      <w:r w:rsidR="003250EB">
        <w:rPr>
          <w:rFonts w:ascii="Arial" w:hAnsi="Arial" w:cs="Arial"/>
          <w:b w:val="0"/>
          <w:lang w:val="es-UY"/>
        </w:rPr>
        <w:t>por</w:t>
      </w:r>
      <w:r w:rsidR="00557D2C">
        <w:rPr>
          <w:rFonts w:ascii="Arial" w:hAnsi="Arial" w:cs="Arial"/>
          <w:b w:val="0"/>
          <w:lang w:val="es-UY"/>
        </w:rPr>
        <w:t xml:space="preserve"> Resolución </w:t>
      </w:r>
      <w:r w:rsidR="00557D2C" w:rsidRPr="00D67E71">
        <w:rPr>
          <w:rFonts w:ascii="Arial" w:hAnsi="Arial" w:cs="Arial"/>
          <w:b w:val="0"/>
        </w:rPr>
        <w:t xml:space="preserve">Nº </w:t>
      </w:r>
      <w:r w:rsidR="00557D2C">
        <w:rPr>
          <w:rFonts w:ascii="Arial" w:hAnsi="Arial" w:cs="Arial"/>
          <w:b w:val="0"/>
        </w:rPr>
        <w:t>171</w:t>
      </w:r>
      <w:r w:rsidR="00557D2C" w:rsidRPr="00D67E71">
        <w:rPr>
          <w:rFonts w:ascii="Arial" w:hAnsi="Arial" w:cs="Arial"/>
          <w:b w:val="0"/>
          <w:bCs/>
        </w:rPr>
        <w:t xml:space="preserve">/014 </w:t>
      </w:r>
      <w:r w:rsidR="00557D2C" w:rsidRPr="00D67E71">
        <w:rPr>
          <w:rFonts w:ascii="Arial" w:hAnsi="Arial" w:cs="Arial"/>
          <w:b w:val="0"/>
        </w:rPr>
        <w:t xml:space="preserve">de fecha </w:t>
      </w:r>
      <w:r w:rsidR="00557D2C">
        <w:rPr>
          <w:rFonts w:ascii="Arial" w:hAnsi="Arial" w:cs="Arial"/>
          <w:b w:val="0"/>
        </w:rPr>
        <w:t>10 de noviembre</w:t>
      </w:r>
      <w:r w:rsidR="00557D2C">
        <w:rPr>
          <w:rFonts w:ascii="Arial" w:hAnsi="Arial" w:cs="Arial"/>
          <w:b w:val="0"/>
          <w:bCs/>
        </w:rPr>
        <w:t xml:space="preserve"> del 2014 de la UCA, se adjudic</w:t>
      </w:r>
      <w:r w:rsidR="003250EB">
        <w:rPr>
          <w:rFonts w:ascii="Arial" w:hAnsi="Arial" w:cs="Arial"/>
          <w:b w:val="0"/>
          <w:bCs/>
        </w:rPr>
        <w:t>ó</w:t>
      </w:r>
      <w:r w:rsidR="00557D2C">
        <w:rPr>
          <w:rFonts w:ascii="Arial" w:hAnsi="Arial" w:cs="Arial"/>
          <w:b w:val="0"/>
          <w:bCs/>
        </w:rPr>
        <w:t xml:space="preserve"> el saldo d</w:t>
      </w:r>
      <w:r w:rsidR="00557D2C" w:rsidRPr="00D67E71">
        <w:rPr>
          <w:rFonts w:ascii="Arial" w:hAnsi="Arial" w:cs="Arial"/>
          <w:b w:val="0"/>
          <w:bCs/>
        </w:rPr>
        <w:t xml:space="preserve">el </w:t>
      </w:r>
      <w:r w:rsidR="00793C4E">
        <w:rPr>
          <w:rFonts w:ascii="Arial" w:hAnsi="Arial" w:cs="Arial"/>
          <w:b w:val="0"/>
          <w:bCs/>
        </w:rPr>
        <w:t xml:space="preserve">referido </w:t>
      </w:r>
      <w:r w:rsidR="00557D2C">
        <w:rPr>
          <w:rFonts w:ascii="Arial" w:hAnsi="Arial" w:cs="Arial"/>
          <w:b w:val="0"/>
          <w:bCs/>
        </w:rPr>
        <w:t>l</w:t>
      </w:r>
      <w:r w:rsidR="00557D2C" w:rsidRPr="00D67E71">
        <w:rPr>
          <w:rFonts w:ascii="Arial" w:hAnsi="Arial" w:cs="Arial"/>
          <w:b w:val="0"/>
          <w:bCs/>
        </w:rPr>
        <w:t>lamado en las variedades Grado 1</w:t>
      </w:r>
      <w:r w:rsidR="00793C4E">
        <w:rPr>
          <w:rFonts w:ascii="Arial" w:hAnsi="Arial" w:cs="Arial"/>
          <w:b w:val="0"/>
          <w:bCs/>
        </w:rPr>
        <w:t xml:space="preserve">, </w:t>
      </w:r>
      <w:r w:rsidR="00557D2C" w:rsidRPr="00D67E71">
        <w:rPr>
          <w:rFonts w:ascii="Arial" w:hAnsi="Arial" w:cs="Arial"/>
          <w:b w:val="0"/>
          <w:bCs/>
        </w:rPr>
        <w:t xml:space="preserve">y </w:t>
      </w:r>
      <w:proofErr w:type="spellStart"/>
      <w:r w:rsidR="00557D2C" w:rsidRPr="00D67E71">
        <w:rPr>
          <w:rFonts w:ascii="Arial" w:hAnsi="Arial" w:cs="Arial"/>
          <w:b w:val="0"/>
          <w:bCs/>
        </w:rPr>
        <w:t>Parboiled</w:t>
      </w:r>
      <w:proofErr w:type="spellEnd"/>
      <w:r w:rsidR="00557D2C" w:rsidRPr="00D67E71">
        <w:rPr>
          <w:rFonts w:ascii="Arial" w:hAnsi="Arial" w:cs="Arial"/>
          <w:b w:val="0"/>
          <w:bCs/>
        </w:rPr>
        <w:t xml:space="preserve">,  a las firmas </w:t>
      </w:r>
      <w:proofErr w:type="spellStart"/>
      <w:r w:rsidR="00557D2C" w:rsidRPr="00D67E71">
        <w:rPr>
          <w:rFonts w:ascii="Arial" w:hAnsi="Arial" w:cs="Arial"/>
          <w:b w:val="0"/>
          <w:bCs/>
        </w:rPr>
        <w:t>Durefox</w:t>
      </w:r>
      <w:proofErr w:type="spellEnd"/>
      <w:r w:rsidR="00557D2C" w:rsidRPr="00D67E71">
        <w:rPr>
          <w:rFonts w:ascii="Arial" w:hAnsi="Arial" w:cs="Arial"/>
          <w:b w:val="0"/>
          <w:bCs/>
        </w:rPr>
        <w:t xml:space="preserve"> S.A.</w:t>
      </w:r>
      <w:r w:rsidR="00793C4E">
        <w:rPr>
          <w:rFonts w:ascii="Arial" w:hAnsi="Arial" w:cs="Arial"/>
          <w:b w:val="0"/>
          <w:bCs/>
        </w:rPr>
        <w:t>: $ 1:233.939,39</w:t>
      </w:r>
      <w:r w:rsidR="00557D2C" w:rsidRPr="00D67E71">
        <w:rPr>
          <w:rFonts w:ascii="Arial" w:hAnsi="Arial" w:cs="Arial"/>
          <w:b w:val="0"/>
          <w:bCs/>
        </w:rPr>
        <w:t xml:space="preserve"> y SAMAN</w:t>
      </w:r>
      <w:r w:rsidR="00793C4E">
        <w:rPr>
          <w:rFonts w:ascii="Arial" w:hAnsi="Arial" w:cs="Arial"/>
          <w:b w:val="0"/>
          <w:bCs/>
        </w:rPr>
        <w:t>: $ 4:363</w:t>
      </w:r>
      <w:r w:rsidR="00F14983">
        <w:rPr>
          <w:rFonts w:ascii="Arial" w:hAnsi="Arial" w:cs="Arial"/>
          <w:b w:val="0"/>
          <w:bCs/>
        </w:rPr>
        <w:t>.</w:t>
      </w:r>
      <w:r w:rsidR="00793C4E">
        <w:rPr>
          <w:rFonts w:ascii="Arial" w:hAnsi="Arial" w:cs="Arial"/>
          <w:b w:val="0"/>
          <w:bCs/>
        </w:rPr>
        <w:t>187,67</w:t>
      </w:r>
      <w:r w:rsidR="00557D2C" w:rsidRPr="00D67E71">
        <w:rPr>
          <w:rFonts w:ascii="Arial" w:hAnsi="Arial" w:cs="Arial"/>
          <w:b w:val="0"/>
          <w:bCs/>
        </w:rPr>
        <w:t>, por hasta las cantidades máximas expresadas en el detalle adjunto</w:t>
      </w:r>
      <w:r w:rsidR="006D5E0D">
        <w:rPr>
          <w:rFonts w:ascii="Arial" w:hAnsi="Arial" w:cs="Arial"/>
          <w:b w:val="0"/>
          <w:bCs/>
        </w:rPr>
        <w:t>;</w:t>
      </w:r>
      <w:r w:rsidR="00557D2C" w:rsidRPr="00D67E71">
        <w:rPr>
          <w:rFonts w:ascii="Arial" w:hAnsi="Arial" w:cs="Arial"/>
          <w:b w:val="0"/>
          <w:bCs/>
        </w:rPr>
        <w:t xml:space="preserve"> </w:t>
      </w:r>
    </w:p>
    <w:p w:rsidR="003939D3" w:rsidRDefault="00AE472C" w:rsidP="0083210D">
      <w:pPr>
        <w:spacing w:line="360" w:lineRule="auto"/>
        <w:ind w:firstLine="2694"/>
        <w:jc w:val="both"/>
        <w:rPr>
          <w:rFonts w:ascii="Arial" w:hAnsi="Arial" w:cs="Arial"/>
          <w:b w:val="0"/>
          <w:bCs/>
        </w:rPr>
      </w:pPr>
      <w:r>
        <w:rPr>
          <w:rFonts w:ascii="Arial" w:hAnsi="Arial" w:cs="Arial"/>
          <w:bCs/>
        </w:rPr>
        <w:t xml:space="preserve">4) </w:t>
      </w:r>
      <w:r>
        <w:rPr>
          <w:rFonts w:ascii="Arial" w:hAnsi="Arial" w:cs="Arial"/>
          <w:b w:val="0"/>
          <w:bCs/>
        </w:rPr>
        <w:t xml:space="preserve">que </w:t>
      </w:r>
      <w:r w:rsidR="003250EB">
        <w:rPr>
          <w:rFonts w:ascii="Arial" w:hAnsi="Arial" w:cs="Arial"/>
          <w:b w:val="0"/>
          <w:bCs/>
        </w:rPr>
        <w:t>por dicha</w:t>
      </w:r>
      <w:r>
        <w:rPr>
          <w:rFonts w:ascii="Arial" w:hAnsi="Arial" w:cs="Arial"/>
          <w:b w:val="0"/>
          <w:bCs/>
        </w:rPr>
        <w:t xml:space="preserve"> adjudicación parcial </w:t>
      </w:r>
      <w:r w:rsidR="003250EB">
        <w:rPr>
          <w:rFonts w:ascii="Arial" w:hAnsi="Arial" w:cs="Arial"/>
          <w:b w:val="0"/>
          <w:bCs/>
        </w:rPr>
        <w:t>se</w:t>
      </w:r>
      <w:r>
        <w:rPr>
          <w:rFonts w:ascii="Arial" w:hAnsi="Arial" w:cs="Arial"/>
          <w:b w:val="0"/>
          <w:bCs/>
        </w:rPr>
        <w:t xml:space="preserve"> ascend</w:t>
      </w:r>
      <w:r w:rsidR="003250EB">
        <w:rPr>
          <w:rFonts w:ascii="Arial" w:hAnsi="Arial" w:cs="Arial"/>
          <w:b w:val="0"/>
          <w:bCs/>
        </w:rPr>
        <w:t>ió</w:t>
      </w:r>
      <w:r>
        <w:rPr>
          <w:rFonts w:ascii="Arial" w:hAnsi="Arial" w:cs="Arial"/>
          <w:b w:val="0"/>
          <w:bCs/>
        </w:rPr>
        <w:t xml:space="preserve"> a un </w:t>
      </w:r>
      <w:r w:rsidR="00557D2C" w:rsidRPr="00D67E71">
        <w:rPr>
          <w:rFonts w:ascii="Arial" w:hAnsi="Arial" w:cs="Arial"/>
          <w:b w:val="0"/>
          <w:bCs/>
        </w:rPr>
        <w:t>total adjudicado en kilos</w:t>
      </w:r>
      <w:r>
        <w:rPr>
          <w:rFonts w:ascii="Arial" w:hAnsi="Arial" w:cs="Arial"/>
          <w:b w:val="0"/>
          <w:bCs/>
        </w:rPr>
        <w:t>, que se detalla</w:t>
      </w:r>
      <w:r w:rsidR="00557D2C" w:rsidRPr="00D67E71">
        <w:rPr>
          <w:rFonts w:ascii="Arial" w:hAnsi="Arial" w:cs="Arial"/>
          <w:b w:val="0"/>
          <w:bCs/>
        </w:rPr>
        <w:t>: Grado 1</w:t>
      </w:r>
      <w:r w:rsidR="00557D2C">
        <w:rPr>
          <w:rFonts w:ascii="Arial" w:hAnsi="Arial" w:cs="Arial"/>
          <w:b w:val="0"/>
          <w:bCs/>
        </w:rPr>
        <w:t>:</w:t>
      </w:r>
      <w:r w:rsidR="00793C4E">
        <w:rPr>
          <w:rFonts w:ascii="Arial" w:hAnsi="Arial" w:cs="Arial"/>
          <w:b w:val="0"/>
          <w:bCs/>
        </w:rPr>
        <w:t xml:space="preserve"> 24.613</w:t>
      </w:r>
      <w:r w:rsidR="00557D2C" w:rsidRPr="00D67E71">
        <w:rPr>
          <w:rFonts w:ascii="Arial" w:hAnsi="Arial" w:cs="Arial"/>
          <w:b w:val="0"/>
          <w:bCs/>
        </w:rPr>
        <w:t xml:space="preserve"> y </w:t>
      </w:r>
      <w:proofErr w:type="spellStart"/>
      <w:r w:rsidR="00557D2C" w:rsidRPr="00D67E71">
        <w:rPr>
          <w:rFonts w:ascii="Arial" w:hAnsi="Arial" w:cs="Arial"/>
          <w:b w:val="0"/>
          <w:bCs/>
        </w:rPr>
        <w:t>Parboiled</w:t>
      </w:r>
      <w:proofErr w:type="spellEnd"/>
      <w:r w:rsidR="00557D2C">
        <w:rPr>
          <w:rFonts w:ascii="Arial" w:hAnsi="Arial" w:cs="Arial"/>
          <w:b w:val="0"/>
          <w:bCs/>
        </w:rPr>
        <w:t>:</w:t>
      </w:r>
      <w:r w:rsidR="00793C4E">
        <w:rPr>
          <w:rFonts w:ascii="Arial" w:hAnsi="Arial" w:cs="Arial"/>
          <w:b w:val="0"/>
          <w:bCs/>
        </w:rPr>
        <w:t xml:space="preserve"> 206.949</w:t>
      </w:r>
      <w:r>
        <w:rPr>
          <w:rFonts w:ascii="Arial" w:hAnsi="Arial" w:cs="Arial"/>
          <w:b w:val="0"/>
          <w:bCs/>
        </w:rPr>
        <w:t>, lo que implica la adjudicación del 50% restante del objeto de la presente convocatoria;</w:t>
      </w:r>
    </w:p>
    <w:p w:rsidR="006D5E0D" w:rsidRDefault="003250EB" w:rsidP="0083210D">
      <w:pPr>
        <w:spacing w:line="360" w:lineRule="auto"/>
        <w:ind w:firstLine="2694"/>
        <w:jc w:val="both"/>
        <w:rPr>
          <w:rFonts w:ascii="Arial" w:hAnsi="Arial" w:cs="Arial"/>
          <w:b w:val="0"/>
          <w:bCs/>
        </w:rPr>
      </w:pPr>
      <w:r w:rsidRPr="006D5E0D">
        <w:rPr>
          <w:rFonts w:ascii="Arial" w:hAnsi="Arial" w:cs="Arial"/>
          <w:bCs/>
        </w:rPr>
        <w:lastRenderedPageBreak/>
        <w:t>5)</w:t>
      </w:r>
      <w:r>
        <w:rPr>
          <w:rFonts w:ascii="Arial" w:hAnsi="Arial" w:cs="Arial"/>
          <w:b w:val="0"/>
          <w:bCs/>
        </w:rPr>
        <w:t xml:space="preserve"> que este Tribunal en Sesión de fecha 10 de diciembre de 2014 acordó cometer a la Contadora Auditora destacada ante el MEF, la intervención del saldo correspondiente</w:t>
      </w:r>
      <w:r w:rsidR="006D5E0D">
        <w:rPr>
          <w:rFonts w:ascii="Arial" w:hAnsi="Arial" w:cs="Arial"/>
          <w:b w:val="0"/>
          <w:bCs/>
        </w:rPr>
        <w:t xml:space="preserve"> al presente Llamado, previo control de su imputación al Objeto del gasto adecuado con disponibilidad suficiente;</w:t>
      </w:r>
    </w:p>
    <w:p w:rsidR="00606AB5" w:rsidRDefault="006D5E0D" w:rsidP="0083210D">
      <w:pPr>
        <w:spacing w:line="360" w:lineRule="auto"/>
        <w:ind w:firstLine="2694"/>
        <w:jc w:val="both"/>
        <w:rPr>
          <w:rFonts w:ascii="Arial" w:hAnsi="Arial" w:cs="Arial"/>
          <w:b w:val="0"/>
          <w:lang w:val="es-UY"/>
        </w:rPr>
      </w:pPr>
      <w:r w:rsidRPr="006D5E0D">
        <w:rPr>
          <w:rFonts w:ascii="Arial" w:hAnsi="Arial" w:cs="Arial"/>
          <w:bCs/>
        </w:rPr>
        <w:t>6)</w:t>
      </w:r>
      <w:r>
        <w:rPr>
          <w:rFonts w:ascii="Arial" w:hAnsi="Arial" w:cs="Arial"/>
          <w:b w:val="0"/>
          <w:bCs/>
        </w:rPr>
        <w:t xml:space="preserve"> que </w:t>
      </w:r>
      <w:r w:rsidR="003250EB">
        <w:rPr>
          <w:rFonts w:ascii="Arial" w:hAnsi="Arial" w:cs="Arial"/>
          <w:b w:val="0"/>
          <w:bCs/>
        </w:rPr>
        <w:t xml:space="preserve">en esta oportunidad, se remite nueva Resolución de la </w:t>
      </w:r>
      <w:r>
        <w:rPr>
          <w:rFonts w:ascii="Arial" w:hAnsi="Arial" w:cs="Arial"/>
          <w:b w:val="0"/>
          <w:bCs/>
        </w:rPr>
        <w:t>U</w:t>
      </w:r>
      <w:r w:rsidR="003250EB">
        <w:rPr>
          <w:rFonts w:ascii="Arial" w:hAnsi="Arial" w:cs="Arial"/>
          <w:b w:val="0"/>
          <w:bCs/>
        </w:rPr>
        <w:t xml:space="preserve">CA </w:t>
      </w:r>
      <w:r>
        <w:rPr>
          <w:rFonts w:ascii="Arial" w:hAnsi="Arial" w:cs="Arial"/>
          <w:b w:val="0"/>
          <w:bCs/>
        </w:rPr>
        <w:t xml:space="preserve">Nº 181/014 </w:t>
      </w:r>
      <w:r w:rsidR="003250EB">
        <w:rPr>
          <w:rFonts w:ascii="Arial" w:hAnsi="Arial" w:cs="Arial"/>
          <w:b w:val="0"/>
          <w:bCs/>
        </w:rPr>
        <w:t xml:space="preserve">de fecha </w:t>
      </w:r>
      <w:r>
        <w:rPr>
          <w:rFonts w:ascii="Arial" w:hAnsi="Arial" w:cs="Arial"/>
          <w:b w:val="0"/>
          <w:bCs/>
        </w:rPr>
        <w:t xml:space="preserve">3 de diciembre de 2014, por la cual se amplía la adjudicación </w:t>
      </w:r>
      <w:r w:rsidR="00606AB5">
        <w:rPr>
          <w:rFonts w:ascii="Arial" w:hAnsi="Arial" w:cs="Arial"/>
          <w:b w:val="0"/>
          <w:bCs/>
        </w:rPr>
        <w:t xml:space="preserve">del ítem 2 “Arroz Grado 1” </w:t>
      </w:r>
      <w:r>
        <w:rPr>
          <w:rFonts w:ascii="Arial" w:hAnsi="Arial" w:cs="Arial"/>
          <w:b w:val="0"/>
          <w:bCs/>
        </w:rPr>
        <w:t xml:space="preserve">a las firmas </w:t>
      </w:r>
      <w:r>
        <w:rPr>
          <w:rFonts w:ascii="Arial" w:hAnsi="Arial" w:cs="Arial"/>
          <w:b w:val="0"/>
          <w:lang w:val="es-UY"/>
        </w:rPr>
        <w:t xml:space="preserve">DUREFOX S.A. y SAMAN </w:t>
      </w:r>
      <w:r w:rsidR="00606AB5">
        <w:rPr>
          <w:rFonts w:ascii="Arial" w:hAnsi="Arial" w:cs="Arial"/>
          <w:b w:val="0"/>
          <w:lang w:val="es-UY"/>
        </w:rPr>
        <w:t xml:space="preserve">por hasta un 70% </w:t>
      </w:r>
      <w:r w:rsidR="0083210D">
        <w:rPr>
          <w:rFonts w:ascii="Arial" w:hAnsi="Arial" w:cs="Arial"/>
          <w:b w:val="0"/>
          <w:lang w:val="es-UY"/>
        </w:rPr>
        <w:t>-</w:t>
      </w:r>
      <w:r w:rsidR="00606AB5">
        <w:rPr>
          <w:rFonts w:ascii="Arial" w:hAnsi="Arial" w:cs="Arial"/>
          <w:b w:val="0"/>
          <w:lang w:val="es-UY"/>
        </w:rPr>
        <w:t>total en kilogramos 34.458</w:t>
      </w:r>
      <w:r w:rsidR="0083210D">
        <w:rPr>
          <w:rFonts w:ascii="Arial" w:hAnsi="Arial" w:cs="Arial"/>
          <w:b w:val="0"/>
          <w:lang w:val="es-UY"/>
        </w:rPr>
        <w:t xml:space="preserve">- </w:t>
      </w:r>
      <w:r w:rsidR="00606AB5">
        <w:rPr>
          <w:rFonts w:ascii="Arial" w:hAnsi="Arial" w:cs="Arial"/>
          <w:b w:val="0"/>
          <w:lang w:val="es-UY"/>
        </w:rPr>
        <w:t xml:space="preserve"> para Montevideo e interior, a efectos de atender las necesidades del Instituto Nacional de Alimentación, hasta tanto se resuelva la adjudicación del Llamado Nº 27/2014;</w:t>
      </w:r>
    </w:p>
    <w:p w:rsidR="00606AB5" w:rsidRDefault="00606AB5" w:rsidP="00D67E71">
      <w:pPr>
        <w:spacing w:line="360" w:lineRule="auto"/>
        <w:jc w:val="both"/>
        <w:rPr>
          <w:rFonts w:ascii="Arial" w:hAnsi="Arial" w:cs="Arial"/>
          <w:b w:val="0"/>
          <w:lang w:val="es-UY"/>
        </w:rPr>
      </w:pPr>
      <w:r w:rsidRPr="00606AB5">
        <w:rPr>
          <w:rFonts w:ascii="Arial" w:hAnsi="Arial" w:cs="Arial"/>
          <w:lang w:val="es-UY"/>
        </w:rPr>
        <w:t>6.1)</w:t>
      </w:r>
      <w:r>
        <w:rPr>
          <w:rFonts w:ascii="Arial" w:hAnsi="Arial" w:cs="Arial"/>
          <w:b w:val="0"/>
          <w:lang w:val="es-UY"/>
        </w:rPr>
        <w:t xml:space="preserve"> que la presente ampliación se realiza al amparo de lo dispuesto por el Artículo 74 del TOCAF, contando con la conformidad de las firmas adjudicatarias;</w:t>
      </w:r>
    </w:p>
    <w:p w:rsidR="00AC1648" w:rsidRDefault="00AC1648" w:rsidP="0083210D">
      <w:pPr>
        <w:spacing w:line="360" w:lineRule="auto"/>
        <w:ind w:firstLine="2694"/>
        <w:jc w:val="both"/>
        <w:rPr>
          <w:rFonts w:ascii="Arial" w:hAnsi="Arial" w:cs="Arial"/>
          <w:b w:val="0"/>
          <w:lang w:val="es-UY"/>
        </w:rPr>
      </w:pPr>
      <w:r w:rsidRPr="001F4C4A">
        <w:rPr>
          <w:rFonts w:ascii="Arial" w:hAnsi="Arial" w:cs="Arial"/>
          <w:lang w:val="es-UY"/>
        </w:rPr>
        <w:t>7)</w:t>
      </w:r>
      <w:r>
        <w:rPr>
          <w:rFonts w:ascii="Arial" w:hAnsi="Arial" w:cs="Arial"/>
          <w:b w:val="0"/>
          <w:lang w:val="es-UY"/>
        </w:rPr>
        <w:t xml:space="preserve"> que consta la publicación en la página web de la presente ampliación y lucen constancia de los montos adjudicados a cada firma en las sumas de:</w:t>
      </w:r>
      <w:r w:rsidRPr="00AC1648">
        <w:rPr>
          <w:rFonts w:ascii="Arial" w:hAnsi="Arial" w:cs="Arial"/>
          <w:b w:val="0"/>
          <w:lang w:val="es-UY"/>
        </w:rPr>
        <w:t xml:space="preserve"> </w:t>
      </w:r>
      <w:r>
        <w:rPr>
          <w:rFonts w:ascii="Arial" w:hAnsi="Arial" w:cs="Arial"/>
          <w:b w:val="0"/>
          <w:lang w:val="es-UY"/>
        </w:rPr>
        <w:t xml:space="preserve">DUREFOX S.A.  $ 501.504,55  y SAMAN  $ 372.905,62, así como el control de que los integrantes del Directorio de las empresas adjudicatarias no se encuentran comprendidos por lo dispuesto en el Artículo 3º de la Ley Nº 18.244 de 27 de diciembre de 2007;  </w:t>
      </w:r>
    </w:p>
    <w:p w:rsidR="00FC1967" w:rsidRPr="00FC1967" w:rsidRDefault="00F34FFF" w:rsidP="0083210D">
      <w:pPr>
        <w:suppressAutoHyphens/>
        <w:spacing w:line="360" w:lineRule="auto"/>
        <w:ind w:firstLine="851"/>
        <w:jc w:val="both"/>
        <w:rPr>
          <w:rFonts w:ascii="Arial" w:hAnsi="Arial" w:cs="Arial"/>
          <w:b w:val="0"/>
          <w:spacing w:val="-3"/>
          <w:lang w:val="es-ES_tradnl"/>
        </w:rPr>
      </w:pPr>
      <w:r>
        <w:rPr>
          <w:rFonts w:ascii="Arial" w:hAnsi="Arial" w:cs="Arial"/>
          <w:bCs/>
        </w:rPr>
        <w:t xml:space="preserve">CONSIDERANDO: </w:t>
      </w:r>
      <w:r w:rsidR="00FC1967" w:rsidRPr="00FC1967">
        <w:rPr>
          <w:rFonts w:ascii="Arial" w:hAnsi="Arial" w:cs="Arial"/>
          <w:b w:val="0"/>
          <w:bCs/>
        </w:rPr>
        <w:t xml:space="preserve">que </w:t>
      </w:r>
      <w:r w:rsidR="00FC1967" w:rsidRPr="00FC1967">
        <w:rPr>
          <w:rFonts w:ascii="Arial" w:hAnsi="Arial" w:cs="Arial"/>
          <w:b w:val="0"/>
          <w:spacing w:val="-3"/>
          <w:lang w:val="es-ES_tradnl"/>
        </w:rPr>
        <w:t xml:space="preserve">la presente ampliación encuadra en lo dispuesto por </w:t>
      </w:r>
      <w:r w:rsidR="00FC1967" w:rsidRPr="00FC1967">
        <w:rPr>
          <w:rFonts w:ascii="Arial" w:hAnsi="Arial" w:cs="Arial"/>
          <w:b w:val="0"/>
        </w:rPr>
        <w:t xml:space="preserve">por el </w:t>
      </w:r>
      <w:r w:rsidR="0083210D">
        <w:rPr>
          <w:rFonts w:ascii="Arial" w:hAnsi="Arial" w:cs="Arial"/>
          <w:b w:val="0"/>
        </w:rPr>
        <w:t>A</w:t>
      </w:r>
      <w:r w:rsidR="00FC1967" w:rsidRPr="00FC1967">
        <w:rPr>
          <w:rFonts w:ascii="Arial" w:hAnsi="Arial" w:cs="Arial"/>
          <w:b w:val="0"/>
        </w:rPr>
        <w:t xml:space="preserve">rtículo 74 del TOCAF (anterior </w:t>
      </w:r>
      <w:r w:rsidR="0083210D">
        <w:rPr>
          <w:rFonts w:ascii="Arial" w:hAnsi="Arial" w:cs="Arial"/>
          <w:b w:val="0"/>
        </w:rPr>
        <w:t>A</w:t>
      </w:r>
      <w:r w:rsidR="00FC1967" w:rsidRPr="00FC1967">
        <w:rPr>
          <w:rFonts w:ascii="Arial" w:hAnsi="Arial" w:cs="Arial"/>
          <w:b w:val="0"/>
        </w:rPr>
        <w:t>rt</w:t>
      </w:r>
      <w:r w:rsidR="0083210D">
        <w:rPr>
          <w:rFonts w:ascii="Arial" w:hAnsi="Arial" w:cs="Arial"/>
          <w:b w:val="0"/>
        </w:rPr>
        <w:t>ículo</w:t>
      </w:r>
      <w:r w:rsidR="00FC1967" w:rsidRPr="00FC1967">
        <w:rPr>
          <w:rFonts w:ascii="Arial" w:hAnsi="Arial" w:cs="Arial"/>
          <w:b w:val="0"/>
        </w:rPr>
        <w:t xml:space="preserve"> 63) y con </w:t>
      </w:r>
      <w:r w:rsidR="00FC1967" w:rsidRPr="00FC1967">
        <w:rPr>
          <w:rFonts w:ascii="Arial" w:hAnsi="Arial" w:cs="Arial"/>
          <w:b w:val="0"/>
          <w:lang w:val="es-UY"/>
        </w:rPr>
        <w:t>lo dispuesto por la Cláusula 2, apartado 2.1 del Pliego de Condiciones Particulares que rigió el Llamado;</w:t>
      </w:r>
    </w:p>
    <w:p w:rsidR="00FC1967" w:rsidRPr="00FC1967" w:rsidRDefault="00FC1967" w:rsidP="0083210D">
      <w:pPr>
        <w:suppressAutoHyphens/>
        <w:spacing w:line="360" w:lineRule="auto"/>
        <w:ind w:firstLine="851"/>
        <w:jc w:val="both"/>
        <w:rPr>
          <w:rFonts w:ascii="Arial" w:hAnsi="Arial" w:cs="Arial"/>
          <w:b w:val="0"/>
          <w:spacing w:val="-3"/>
          <w:lang w:val="es-ES_tradnl"/>
        </w:rPr>
      </w:pPr>
      <w:r w:rsidRPr="00FC1967">
        <w:rPr>
          <w:rFonts w:ascii="Arial" w:hAnsi="Arial" w:cs="Arial"/>
          <w:spacing w:val="-3"/>
          <w:lang w:val="es-ES_tradnl"/>
        </w:rPr>
        <w:t>ATENTO:</w:t>
      </w:r>
      <w:r w:rsidRPr="00FC1967">
        <w:rPr>
          <w:rFonts w:ascii="Arial" w:hAnsi="Arial" w:cs="Arial"/>
          <w:b w:val="0"/>
          <w:spacing w:val="-3"/>
          <w:lang w:val="es-ES_tradnl"/>
        </w:rPr>
        <w:t xml:space="preserve"> a lo precedentemente expuesto;</w:t>
      </w:r>
    </w:p>
    <w:p w:rsidR="00FC1967" w:rsidRPr="00C0448A" w:rsidRDefault="00FC1967" w:rsidP="00FC1967">
      <w:pPr>
        <w:suppressAutoHyphens/>
        <w:spacing w:line="360" w:lineRule="auto"/>
        <w:ind w:firstLine="720"/>
        <w:jc w:val="center"/>
        <w:rPr>
          <w:rFonts w:ascii="Arial" w:hAnsi="Arial" w:cs="Arial"/>
          <w:spacing w:val="-3"/>
          <w:lang w:val="es-ES_tradnl"/>
        </w:rPr>
      </w:pPr>
      <w:r w:rsidRPr="00C0448A">
        <w:rPr>
          <w:rFonts w:ascii="Arial" w:hAnsi="Arial" w:cs="Arial"/>
          <w:spacing w:val="-3"/>
          <w:lang w:val="es-ES_tradnl"/>
        </w:rPr>
        <w:t>EL TRIBUNAL ACUERDA</w:t>
      </w:r>
    </w:p>
    <w:p w:rsidR="00FC1967" w:rsidRPr="00FC1967" w:rsidRDefault="00FC1967" w:rsidP="00FC1967">
      <w:pPr>
        <w:suppressAutoHyphens/>
        <w:spacing w:line="360" w:lineRule="auto"/>
        <w:jc w:val="both"/>
        <w:rPr>
          <w:rFonts w:ascii="Arial" w:hAnsi="Arial" w:cs="Arial"/>
          <w:b w:val="0"/>
          <w:spacing w:val="-3"/>
          <w:lang w:val="es-ES_tradnl"/>
        </w:rPr>
      </w:pPr>
      <w:r w:rsidRPr="0083210D">
        <w:rPr>
          <w:rFonts w:ascii="Arial" w:hAnsi="Arial" w:cs="Arial"/>
          <w:spacing w:val="-3"/>
          <w:lang w:val="es-ES_tradnl"/>
        </w:rPr>
        <w:t>1)</w:t>
      </w:r>
      <w:r w:rsidR="0083210D">
        <w:rPr>
          <w:rFonts w:ascii="Arial" w:hAnsi="Arial" w:cs="Arial"/>
          <w:b w:val="0"/>
          <w:spacing w:val="-3"/>
          <w:lang w:val="es-ES_tradnl"/>
        </w:rPr>
        <w:t xml:space="preserve"> No formular observaciones;</w:t>
      </w:r>
    </w:p>
    <w:p w:rsidR="00FC1967" w:rsidRPr="00FC1967" w:rsidRDefault="00FC1967" w:rsidP="0083210D">
      <w:pPr>
        <w:suppressAutoHyphens/>
        <w:spacing w:line="360" w:lineRule="auto"/>
        <w:ind w:left="284" w:hanging="284"/>
        <w:jc w:val="both"/>
        <w:rPr>
          <w:rFonts w:ascii="Arial" w:hAnsi="Arial" w:cs="Arial"/>
          <w:b w:val="0"/>
        </w:rPr>
      </w:pPr>
      <w:r w:rsidRPr="0083210D">
        <w:rPr>
          <w:rFonts w:ascii="Arial" w:hAnsi="Arial" w:cs="Arial"/>
          <w:spacing w:val="-3"/>
          <w:lang w:val="es-ES_tradnl"/>
        </w:rPr>
        <w:t>2)</w:t>
      </w:r>
      <w:r w:rsidRPr="00FC1967">
        <w:rPr>
          <w:rFonts w:ascii="Arial" w:hAnsi="Arial" w:cs="Arial"/>
          <w:b w:val="0"/>
          <w:spacing w:val="-3"/>
          <w:lang w:val="es-ES_tradnl"/>
        </w:rPr>
        <w:t xml:space="preserve"> Com</w:t>
      </w:r>
      <w:r w:rsidR="008E7757">
        <w:rPr>
          <w:rFonts w:ascii="Arial" w:hAnsi="Arial" w:cs="Arial"/>
          <w:b w:val="0"/>
          <w:spacing w:val="-3"/>
          <w:lang w:val="es-ES_tradnl"/>
        </w:rPr>
        <w:t>eter</w:t>
      </w:r>
      <w:r w:rsidRPr="00FC1967">
        <w:rPr>
          <w:rFonts w:ascii="Arial" w:hAnsi="Arial" w:cs="Arial"/>
          <w:b w:val="0"/>
          <w:spacing w:val="-3"/>
          <w:lang w:val="es-ES_tradnl"/>
        </w:rPr>
        <w:t xml:space="preserve"> a la Contadora Auditora destacada ante el Ministerio de Economía y Finanzas, </w:t>
      </w:r>
      <w:r w:rsidRPr="00FC1967">
        <w:rPr>
          <w:rFonts w:ascii="Arial" w:hAnsi="Arial" w:cs="Arial"/>
          <w:b w:val="0"/>
        </w:rPr>
        <w:t xml:space="preserve">la intervención del gasto correspondiente a la ampliación del presente Llamado, por un </w:t>
      </w:r>
      <w:r w:rsidRPr="00FC1967">
        <w:rPr>
          <w:rFonts w:ascii="Arial" w:hAnsi="Arial" w:cs="Arial"/>
          <w:b w:val="0"/>
          <w:spacing w:val="-3"/>
          <w:lang w:val="es-ES_tradnl"/>
        </w:rPr>
        <w:t xml:space="preserve">total de $ </w:t>
      </w:r>
      <w:r w:rsidRPr="00FC1967">
        <w:rPr>
          <w:rFonts w:ascii="Arial" w:hAnsi="Arial" w:cs="Arial"/>
          <w:b w:val="0"/>
          <w:lang w:val="es-UY"/>
        </w:rPr>
        <w:t>8</w:t>
      </w:r>
      <w:r w:rsidR="00C0448A">
        <w:rPr>
          <w:rFonts w:ascii="Arial" w:hAnsi="Arial" w:cs="Arial"/>
          <w:b w:val="0"/>
          <w:lang w:val="es-UY"/>
        </w:rPr>
        <w:t>74.410,17 a</w:t>
      </w:r>
      <w:r w:rsidRPr="00FC1967">
        <w:rPr>
          <w:rFonts w:ascii="Arial" w:hAnsi="Arial" w:cs="Arial"/>
          <w:b w:val="0"/>
          <w:spacing w:val="-3"/>
          <w:lang w:val="es-ES_tradnl"/>
        </w:rPr>
        <w:t xml:space="preserve"> valores históricos </w:t>
      </w:r>
      <w:r w:rsidRPr="00FC1967">
        <w:rPr>
          <w:rFonts w:ascii="Arial" w:hAnsi="Arial" w:cs="Arial"/>
          <w:b w:val="0"/>
          <w:lang w:val="es-UY"/>
        </w:rPr>
        <w:t>a favor de la</w:t>
      </w:r>
      <w:r w:rsidR="00C0448A">
        <w:rPr>
          <w:rFonts w:ascii="Arial" w:hAnsi="Arial" w:cs="Arial"/>
          <w:b w:val="0"/>
          <w:lang w:val="es-UY"/>
        </w:rPr>
        <w:t>s</w:t>
      </w:r>
      <w:r w:rsidRPr="00FC1967">
        <w:rPr>
          <w:rFonts w:ascii="Arial" w:hAnsi="Arial" w:cs="Arial"/>
          <w:b w:val="0"/>
          <w:lang w:val="es-UY"/>
        </w:rPr>
        <w:t xml:space="preserve"> firma</w:t>
      </w:r>
      <w:r w:rsidR="0083210D">
        <w:rPr>
          <w:rFonts w:ascii="Arial" w:hAnsi="Arial" w:cs="Arial"/>
          <w:b w:val="0"/>
          <w:lang w:val="es-UY"/>
        </w:rPr>
        <w:t>s DUREFOX S.A. (</w:t>
      </w:r>
      <w:r w:rsidR="00C0448A">
        <w:rPr>
          <w:rFonts w:ascii="Arial" w:hAnsi="Arial" w:cs="Arial"/>
          <w:b w:val="0"/>
          <w:lang w:val="es-UY"/>
        </w:rPr>
        <w:t>$ 501.504,55)  y SAMAN  ($ 372.905,62)</w:t>
      </w:r>
      <w:r w:rsidRPr="00FC1967">
        <w:rPr>
          <w:rFonts w:ascii="Arial" w:hAnsi="Arial" w:cs="Arial"/>
          <w:b w:val="0"/>
          <w:lang w:val="es-UY"/>
        </w:rPr>
        <w:t>,</w:t>
      </w:r>
      <w:r w:rsidRPr="00FC1967">
        <w:rPr>
          <w:rFonts w:ascii="Arial" w:hAnsi="Arial" w:cs="Arial"/>
          <w:b w:val="0"/>
        </w:rPr>
        <w:t xml:space="preserve"> previo control de su imputación al Objeto de Gasto adecuad</w:t>
      </w:r>
      <w:r w:rsidR="0083210D">
        <w:rPr>
          <w:rFonts w:ascii="Arial" w:hAnsi="Arial" w:cs="Arial"/>
          <w:b w:val="0"/>
        </w:rPr>
        <w:t>o con disponibilidad suficiente;</w:t>
      </w:r>
    </w:p>
    <w:p w:rsidR="00C0448A" w:rsidRDefault="00C0448A" w:rsidP="00C0448A">
      <w:pPr>
        <w:spacing w:line="360" w:lineRule="auto"/>
        <w:jc w:val="both"/>
        <w:rPr>
          <w:rFonts w:ascii="Arial" w:hAnsi="Arial" w:cs="Arial"/>
          <w:b w:val="0"/>
          <w:lang w:val="es-UY"/>
        </w:rPr>
      </w:pPr>
      <w:r w:rsidRPr="0083210D">
        <w:rPr>
          <w:rFonts w:ascii="Arial" w:hAnsi="Arial" w:cs="Arial"/>
          <w:spacing w:val="-3"/>
          <w:lang w:val="es-ES_tradnl"/>
        </w:rPr>
        <w:t>3</w:t>
      </w:r>
      <w:r w:rsidR="00FC1967" w:rsidRPr="0083210D">
        <w:rPr>
          <w:rFonts w:ascii="Arial" w:hAnsi="Arial" w:cs="Arial"/>
          <w:spacing w:val="-3"/>
          <w:lang w:val="es-ES_tradnl"/>
        </w:rPr>
        <w:t>)</w:t>
      </w:r>
      <w:r w:rsidR="00FC1967" w:rsidRPr="00FC1967">
        <w:rPr>
          <w:rFonts w:ascii="Arial" w:hAnsi="Arial" w:cs="Arial"/>
          <w:b w:val="0"/>
          <w:spacing w:val="-3"/>
          <w:lang w:val="es-ES_tradnl"/>
        </w:rPr>
        <w:t xml:space="preserve"> </w:t>
      </w:r>
      <w:r>
        <w:rPr>
          <w:rFonts w:ascii="Arial" w:hAnsi="Arial" w:cs="Arial"/>
          <w:b w:val="0"/>
          <w:lang w:val="es-UY"/>
        </w:rPr>
        <w:t>Una vez culminado el procedimiento vuelva para su control</w:t>
      </w:r>
      <w:r w:rsidR="0083210D">
        <w:rPr>
          <w:rFonts w:ascii="Arial" w:hAnsi="Arial" w:cs="Arial"/>
          <w:b w:val="0"/>
          <w:lang w:val="es-UY"/>
        </w:rPr>
        <w:t>;</w:t>
      </w:r>
    </w:p>
    <w:p w:rsidR="00FC1967" w:rsidRPr="00FC1967" w:rsidRDefault="00C0448A" w:rsidP="00FC1967">
      <w:pPr>
        <w:suppressAutoHyphens/>
        <w:spacing w:line="360" w:lineRule="auto"/>
        <w:jc w:val="both"/>
        <w:rPr>
          <w:rFonts w:ascii="Arial" w:hAnsi="Arial" w:cs="Arial"/>
          <w:b w:val="0"/>
          <w:spacing w:val="-3"/>
          <w:lang w:val="es-ES_tradnl"/>
        </w:rPr>
      </w:pPr>
      <w:r w:rsidRPr="0083210D">
        <w:rPr>
          <w:rFonts w:ascii="Arial" w:hAnsi="Arial" w:cs="Arial"/>
          <w:spacing w:val="-3"/>
          <w:lang w:val="es-ES_tradnl"/>
        </w:rPr>
        <w:t>4)</w:t>
      </w:r>
      <w:r>
        <w:rPr>
          <w:rFonts w:ascii="Arial" w:hAnsi="Arial" w:cs="Arial"/>
          <w:b w:val="0"/>
          <w:spacing w:val="-3"/>
          <w:lang w:val="es-ES_tradnl"/>
        </w:rPr>
        <w:t xml:space="preserve"> </w:t>
      </w:r>
      <w:r w:rsidR="00FC1967" w:rsidRPr="00FC1967">
        <w:rPr>
          <w:rFonts w:ascii="Arial" w:hAnsi="Arial" w:cs="Arial"/>
          <w:b w:val="0"/>
          <w:spacing w:val="-3"/>
          <w:lang w:val="es-ES_tradnl"/>
        </w:rPr>
        <w:t xml:space="preserve">Comunicar a la Contadora </w:t>
      </w:r>
      <w:r>
        <w:rPr>
          <w:rFonts w:ascii="Arial" w:hAnsi="Arial" w:cs="Arial"/>
          <w:b w:val="0"/>
          <w:spacing w:val="-3"/>
          <w:lang w:val="es-ES_tradnl"/>
        </w:rPr>
        <w:t>Auditora</w:t>
      </w:r>
      <w:r w:rsidR="0083210D">
        <w:rPr>
          <w:rFonts w:ascii="Arial" w:hAnsi="Arial" w:cs="Arial"/>
          <w:b w:val="0"/>
          <w:spacing w:val="-3"/>
          <w:lang w:val="es-ES_tradnl"/>
        </w:rPr>
        <w:t>;</w:t>
      </w:r>
    </w:p>
    <w:p w:rsidR="0083210D" w:rsidRDefault="00C0448A" w:rsidP="00FC1967">
      <w:pPr>
        <w:suppressAutoHyphens/>
        <w:spacing w:line="360" w:lineRule="auto"/>
        <w:jc w:val="both"/>
        <w:rPr>
          <w:rFonts w:ascii="Arial" w:hAnsi="Arial" w:cs="Arial"/>
          <w:b w:val="0"/>
          <w:spacing w:val="-3"/>
          <w:lang w:val="es-ES_tradnl"/>
        </w:rPr>
      </w:pPr>
      <w:r w:rsidRPr="0083210D">
        <w:rPr>
          <w:rFonts w:ascii="Arial" w:hAnsi="Arial" w:cs="Arial"/>
          <w:spacing w:val="-3"/>
          <w:lang w:val="es-ES_tradnl"/>
        </w:rPr>
        <w:t>5</w:t>
      </w:r>
      <w:r w:rsidR="00FC1967" w:rsidRPr="0083210D">
        <w:rPr>
          <w:rFonts w:ascii="Arial" w:hAnsi="Arial" w:cs="Arial"/>
          <w:spacing w:val="-3"/>
          <w:lang w:val="es-ES_tradnl"/>
        </w:rPr>
        <w:t>)</w:t>
      </w:r>
      <w:r w:rsidR="00FC1967" w:rsidRPr="00FC1967">
        <w:rPr>
          <w:rFonts w:ascii="Arial" w:hAnsi="Arial" w:cs="Arial"/>
          <w:b w:val="0"/>
          <w:spacing w:val="-3"/>
          <w:lang w:val="es-ES_tradnl"/>
        </w:rPr>
        <w:t xml:space="preserve"> Dev</w:t>
      </w:r>
      <w:r w:rsidR="008E7757">
        <w:rPr>
          <w:rFonts w:ascii="Arial" w:hAnsi="Arial" w:cs="Arial"/>
          <w:b w:val="0"/>
          <w:spacing w:val="-3"/>
          <w:lang w:val="es-ES_tradnl"/>
        </w:rPr>
        <w:t>olver los antecedentes</w:t>
      </w:r>
      <w:r w:rsidR="0083210D">
        <w:rPr>
          <w:rFonts w:ascii="Arial" w:hAnsi="Arial" w:cs="Arial"/>
          <w:b w:val="0"/>
          <w:spacing w:val="-3"/>
          <w:lang w:val="es-ES_tradnl"/>
        </w:rPr>
        <w:t>.</w:t>
      </w:r>
    </w:p>
    <w:p w:rsidR="0083210D" w:rsidRDefault="0083210D" w:rsidP="00FC1967">
      <w:pPr>
        <w:suppressAutoHyphens/>
        <w:spacing w:line="360" w:lineRule="auto"/>
        <w:jc w:val="both"/>
        <w:rPr>
          <w:rFonts w:ascii="Arial" w:hAnsi="Arial" w:cs="Arial"/>
          <w:b w:val="0"/>
          <w:spacing w:val="-3"/>
          <w:lang w:val="es-ES_tradnl"/>
        </w:rPr>
      </w:pPr>
    </w:p>
    <w:p w:rsidR="00FC1967" w:rsidRPr="00FC1967" w:rsidRDefault="0083210D" w:rsidP="00FC1967">
      <w:pPr>
        <w:suppressAutoHyphens/>
        <w:spacing w:line="360" w:lineRule="auto"/>
        <w:jc w:val="both"/>
        <w:rPr>
          <w:rFonts w:ascii="Arial" w:hAnsi="Arial" w:cs="Arial"/>
          <w:b w:val="0"/>
          <w:spacing w:val="-3"/>
          <w:lang w:val="es-ES_tradnl"/>
        </w:rPr>
      </w:pPr>
      <w:proofErr w:type="spellStart"/>
      <w:proofErr w:type="gramStart"/>
      <w:r>
        <w:rPr>
          <w:rFonts w:ascii="Arial" w:hAnsi="Arial" w:cs="Arial"/>
          <w:b w:val="0"/>
          <w:spacing w:val="-3"/>
          <w:lang w:val="es-ES_tradnl"/>
        </w:rPr>
        <w:t>ag</w:t>
      </w:r>
      <w:proofErr w:type="spellEnd"/>
      <w:proofErr w:type="gramEnd"/>
      <w:r w:rsidR="00FC1967" w:rsidRPr="00FC1967">
        <w:rPr>
          <w:rFonts w:ascii="Arial" w:hAnsi="Arial" w:cs="Arial"/>
          <w:b w:val="0"/>
          <w:spacing w:val="-3"/>
          <w:lang w:val="es-ES_tradnl"/>
        </w:rPr>
        <w:t xml:space="preserve"> </w:t>
      </w:r>
      <w:bookmarkStart w:id="0" w:name="_GoBack"/>
      <w:bookmarkEnd w:id="0"/>
    </w:p>
    <w:sectPr w:rsidR="00FC1967" w:rsidRPr="00FC1967" w:rsidSect="00040488">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3651"/>
    <w:multiLevelType w:val="hybridMultilevel"/>
    <w:tmpl w:val="ADE0D9E2"/>
    <w:lvl w:ilvl="0" w:tplc="6E7C0DF0">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FF"/>
    <w:rsid w:val="00040488"/>
    <w:rsid w:val="001F4C4A"/>
    <w:rsid w:val="002830A7"/>
    <w:rsid w:val="003250EB"/>
    <w:rsid w:val="003939D3"/>
    <w:rsid w:val="00557D2C"/>
    <w:rsid w:val="00576BEB"/>
    <w:rsid w:val="00606AB5"/>
    <w:rsid w:val="006D5E0D"/>
    <w:rsid w:val="00793C4E"/>
    <w:rsid w:val="0083210D"/>
    <w:rsid w:val="00887702"/>
    <w:rsid w:val="008E7757"/>
    <w:rsid w:val="00AA6142"/>
    <w:rsid w:val="00AC1648"/>
    <w:rsid w:val="00AE472C"/>
    <w:rsid w:val="00B14A8B"/>
    <w:rsid w:val="00B73B80"/>
    <w:rsid w:val="00C0448A"/>
    <w:rsid w:val="00C86381"/>
    <w:rsid w:val="00CE6B93"/>
    <w:rsid w:val="00D67E71"/>
    <w:rsid w:val="00DC43AB"/>
    <w:rsid w:val="00F14983"/>
    <w:rsid w:val="00F34FFF"/>
    <w:rsid w:val="00FC196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FF"/>
    <w:pPr>
      <w:spacing w:after="0" w:line="240" w:lineRule="auto"/>
    </w:pPr>
    <w:rPr>
      <w:rFonts w:ascii="GothicPS" w:eastAsia="Times New Roman" w:hAnsi="GothicPS" w:cs="Times New Roman"/>
      <w:b/>
      <w:color w:val="000000"/>
      <w:sz w:val="24"/>
      <w:szCs w:val="20"/>
      <w:lang w:val="es-ES" w:eastAsia="es-ES"/>
    </w:rPr>
  </w:style>
  <w:style w:type="paragraph" w:styleId="Ttulo1">
    <w:name w:val="heading 1"/>
    <w:basedOn w:val="Normal"/>
    <w:next w:val="Normal"/>
    <w:link w:val="Ttulo1Car"/>
    <w:qFormat/>
    <w:rsid w:val="00F34FFF"/>
    <w:pPr>
      <w:keepNext/>
      <w:outlineLvl w:val="0"/>
    </w:pPr>
    <w:rPr>
      <w:rFonts w:ascii="Bookman Old Style" w:hAnsi="Bookman Old Sty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4FFF"/>
    <w:rPr>
      <w:rFonts w:ascii="Bookman Old Style" w:eastAsia="Times New Roman" w:hAnsi="Bookman Old Style" w:cs="Times New Roman"/>
      <w:b/>
      <w:color w:val="000000"/>
      <w:sz w:val="24"/>
      <w:szCs w:val="20"/>
      <w:lang w:val="es-ES_tradnl" w:eastAsia="es-ES"/>
    </w:rPr>
  </w:style>
  <w:style w:type="paragraph" w:styleId="Piedepgina">
    <w:name w:val="footer"/>
    <w:basedOn w:val="Normal"/>
    <w:link w:val="PiedepginaCar"/>
    <w:semiHidden/>
    <w:unhideWhenUsed/>
    <w:rsid w:val="00F34FFF"/>
    <w:pPr>
      <w:tabs>
        <w:tab w:val="center" w:pos="4419"/>
        <w:tab w:val="right" w:pos="8838"/>
      </w:tabs>
    </w:pPr>
  </w:style>
  <w:style w:type="character" w:customStyle="1" w:styleId="PiedepginaCar">
    <w:name w:val="Pie de página Car"/>
    <w:basedOn w:val="Fuentedeprrafopredeter"/>
    <w:link w:val="Piedepgina"/>
    <w:semiHidden/>
    <w:rsid w:val="00F34FFF"/>
    <w:rPr>
      <w:rFonts w:ascii="GothicPS" w:eastAsia="Times New Roman" w:hAnsi="GothicPS" w:cs="Times New Roman"/>
      <w:b/>
      <w:color w:val="000000"/>
      <w:sz w:val="24"/>
      <w:szCs w:val="20"/>
      <w:lang w:val="es-ES" w:eastAsia="es-ES"/>
    </w:rPr>
  </w:style>
  <w:style w:type="paragraph" w:styleId="Textoindependiente">
    <w:name w:val="Body Text"/>
    <w:basedOn w:val="Normal"/>
    <w:link w:val="TextoindependienteCar"/>
    <w:semiHidden/>
    <w:unhideWhenUsed/>
    <w:rsid w:val="00F34FFF"/>
    <w:pPr>
      <w:spacing w:line="360" w:lineRule="auto"/>
      <w:jc w:val="both"/>
    </w:pPr>
    <w:rPr>
      <w:rFonts w:ascii="Arial" w:hAnsi="Arial"/>
      <w:b w:val="0"/>
      <w:bCs/>
      <w:lang w:val="es-ES_tradnl"/>
    </w:rPr>
  </w:style>
  <w:style w:type="character" w:customStyle="1" w:styleId="TextoindependienteCar">
    <w:name w:val="Texto independiente Car"/>
    <w:basedOn w:val="Fuentedeprrafopredeter"/>
    <w:link w:val="Textoindependiente"/>
    <w:semiHidden/>
    <w:rsid w:val="00F34FFF"/>
    <w:rPr>
      <w:rFonts w:ascii="Arial" w:eastAsia="Times New Roman" w:hAnsi="Arial" w:cs="Times New Roman"/>
      <w:bCs/>
      <w:color w:val="000000"/>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FF"/>
    <w:pPr>
      <w:spacing w:after="0" w:line="240" w:lineRule="auto"/>
    </w:pPr>
    <w:rPr>
      <w:rFonts w:ascii="GothicPS" w:eastAsia="Times New Roman" w:hAnsi="GothicPS" w:cs="Times New Roman"/>
      <w:b/>
      <w:color w:val="000000"/>
      <w:sz w:val="24"/>
      <w:szCs w:val="20"/>
      <w:lang w:val="es-ES" w:eastAsia="es-ES"/>
    </w:rPr>
  </w:style>
  <w:style w:type="paragraph" w:styleId="Ttulo1">
    <w:name w:val="heading 1"/>
    <w:basedOn w:val="Normal"/>
    <w:next w:val="Normal"/>
    <w:link w:val="Ttulo1Car"/>
    <w:qFormat/>
    <w:rsid w:val="00F34FFF"/>
    <w:pPr>
      <w:keepNext/>
      <w:outlineLvl w:val="0"/>
    </w:pPr>
    <w:rPr>
      <w:rFonts w:ascii="Bookman Old Style" w:hAnsi="Bookman Old Sty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4FFF"/>
    <w:rPr>
      <w:rFonts w:ascii="Bookman Old Style" w:eastAsia="Times New Roman" w:hAnsi="Bookman Old Style" w:cs="Times New Roman"/>
      <w:b/>
      <w:color w:val="000000"/>
      <w:sz w:val="24"/>
      <w:szCs w:val="20"/>
      <w:lang w:val="es-ES_tradnl" w:eastAsia="es-ES"/>
    </w:rPr>
  </w:style>
  <w:style w:type="paragraph" w:styleId="Piedepgina">
    <w:name w:val="footer"/>
    <w:basedOn w:val="Normal"/>
    <w:link w:val="PiedepginaCar"/>
    <w:semiHidden/>
    <w:unhideWhenUsed/>
    <w:rsid w:val="00F34FFF"/>
    <w:pPr>
      <w:tabs>
        <w:tab w:val="center" w:pos="4419"/>
        <w:tab w:val="right" w:pos="8838"/>
      </w:tabs>
    </w:pPr>
  </w:style>
  <w:style w:type="character" w:customStyle="1" w:styleId="PiedepginaCar">
    <w:name w:val="Pie de página Car"/>
    <w:basedOn w:val="Fuentedeprrafopredeter"/>
    <w:link w:val="Piedepgina"/>
    <w:semiHidden/>
    <w:rsid w:val="00F34FFF"/>
    <w:rPr>
      <w:rFonts w:ascii="GothicPS" w:eastAsia="Times New Roman" w:hAnsi="GothicPS" w:cs="Times New Roman"/>
      <w:b/>
      <w:color w:val="000000"/>
      <w:sz w:val="24"/>
      <w:szCs w:val="20"/>
      <w:lang w:val="es-ES" w:eastAsia="es-ES"/>
    </w:rPr>
  </w:style>
  <w:style w:type="paragraph" w:styleId="Textoindependiente">
    <w:name w:val="Body Text"/>
    <w:basedOn w:val="Normal"/>
    <w:link w:val="TextoindependienteCar"/>
    <w:semiHidden/>
    <w:unhideWhenUsed/>
    <w:rsid w:val="00F34FFF"/>
    <w:pPr>
      <w:spacing w:line="360" w:lineRule="auto"/>
      <w:jc w:val="both"/>
    </w:pPr>
    <w:rPr>
      <w:rFonts w:ascii="Arial" w:hAnsi="Arial"/>
      <w:b w:val="0"/>
      <w:bCs/>
      <w:lang w:val="es-ES_tradnl"/>
    </w:rPr>
  </w:style>
  <w:style w:type="character" w:customStyle="1" w:styleId="TextoindependienteCar">
    <w:name w:val="Texto independiente Car"/>
    <w:basedOn w:val="Fuentedeprrafopredeter"/>
    <w:link w:val="Textoindependiente"/>
    <w:semiHidden/>
    <w:rsid w:val="00F34FFF"/>
    <w:rPr>
      <w:rFonts w:ascii="Arial" w:eastAsia="Times New Roman" w:hAnsi="Arial" w:cs="Times New Roman"/>
      <w:bCs/>
      <w:color w:val="000000"/>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783711">
      <w:bodyDiv w:val="1"/>
      <w:marLeft w:val="0"/>
      <w:marRight w:val="0"/>
      <w:marTop w:val="0"/>
      <w:marBottom w:val="0"/>
      <w:divBdr>
        <w:top w:val="none" w:sz="0" w:space="0" w:color="auto"/>
        <w:left w:val="none" w:sz="0" w:space="0" w:color="auto"/>
        <w:bottom w:val="none" w:sz="0" w:space="0" w:color="auto"/>
        <w:right w:val="none" w:sz="0" w:space="0" w:color="auto"/>
      </w:divBdr>
    </w:div>
    <w:div w:id="204678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624</Words>
  <Characters>3434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NOEMI ALMIRATI ALMIRATI</dc:creator>
  <cp:lastModifiedBy>Lenovo User</cp:lastModifiedBy>
  <cp:revision>7</cp:revision>
  <cp:lastPrinted>2015-01-27T15:29:00Z</cp:lastPrinted>
  <dcterms:created xsi:type="dcterms:W3CDTF">2015-01-27T14:37:00Z</dcterms:created>
  <dcterms:modified xsi:type="dcterms:W3CDTF">2015-01-27T15:29:00Z</dcterms:modified>
</cp:coreProperties>
</file>