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3DC" w:rsidRPr="009973DC" w:rsidRDefault="009973DC" w:rsidP="009973DC">
      <w:pPr>
        <w:tabs>
          <w:tab w:val="center" w:pos="4253"/>
        </w:tabs>
        <w:suppressAutoHyphens/>
        <w:spacing w:after="200" w:line="276" w:lineRule="auto"/>
        <w:jc w:val="center"/>
        <w:rPr>
          <w:rFonts w:ascii="Helvetica" w:eastAsia="Calibri" w:hAnsi="Helvetica"/>
          <w:b/>
          <w:szCs w:val="22"/>
          <w:lang w:val="es-ES_tradnl" w:eastAsia="en-US"/>
        </w:rPr>
      </w:pPr>
      <w:proofErr w:type="spellStart"/>
      <w:r w:rsidRPr="009973DC">
        <w:rPr>
          <w:rFonts w:ascii="Helvetica" w:eastAsia="Calibri" w:hAnsi="Helvetica"/>
          <w:b/>
          <w:szCs w:val="22"/>
          <w:lang w:val="es-ES_tradnl" w:eastAsia="en-US"/>
        </w:rPr>
        <w:t>RESOLUCION</w:t>
      </w:r>
      <w:proofErr w:type="spellEnd"/>
      <w:r w:rsidRPr="009973DC">
        <w:rPr>
          <w:rFonts w:ascii="Helvetica" w:eastAsia="Calibri" w:hAnsi="Helvetica"/>
          <w:b/>
          <w:szCs w:val="22"/>
          <w:lang w:val="es-ES_tradnl" w:eastAsia="en-US"/>
        </w:rPr>
        <w:t xml:space="preserve"> ADOPTADA POR EL</w:t>
      </w:r>
    </w:p>
    <w:p w:rsidR="009973DC" w:rsidRPr="009973DC" w:rsidRDefault="009973DC" w:rsidP="009973DC">
      <w:pPr>
        <w:tabs>
          <w:tab w:val="center" w:pos="4253"/>
        </w:tabs>
        <w:suppressAutoHyphens/>
        <w:spacing w:after="200" w:line="276" w:lineRule="auto"/>
        <w:jc w:val="center"/>
        <w:rPr>
          <w:rFonts w:ascii="Helvetica" w:eastAsia="Calibri" w:hAnsi="Helvetica"/>
          <w:b/>
          <w:szCs w:val="22"/>
          <w:lang w:val="es-ES_tradnl" w:eastAsia="en-US"/>
        </w:rPr>
      </w:pPr>
      <w:r w:rsidRPr="009973DC">
        <w:rPr>
          <w:rFonts w:ascii="Helvetica" w:eastAsia="Calibri" w:hAnsi="Helvetica"/>
          <w:b/>
          <w:szCs w:val="22"/>
          <w:lang w:val="es-ES_tradnl" w:eastAsia="en-US"/>
        </w:rPr>
        <w:t>TRIBUNAL DE CUENTAS</w:t>
      </w:r>
    </w:p>
    <w:p w:rsidR="009973DC" w:rsidRPr="009973DC" w:rsidRDefault="009973DC" w:rsidP="009973DC">
      <w:pPr>
        <w:tabs>
          <w:tab w:val="center" w:pos="4253"/>
        </w:tabs>
        <w:suppressAutoHyphens/>
        <w:spacing w:after="200" w:line="276" w:lineRule="auto"/>
        <w:jc w:val="center"/>
        <w:rPr>
          <w:rFonts w:ascii="Helvetica" w:eastAsia="Calibri" w:hAnsi="Helvetica"/>
          <w:b/>
          <w:szCs w:val="22"/>
          <w:lang w:val="es-ES_tradnl" w:eastAsia="en-US"/>
        </w:rPr>
      </w:pPr>
      <w:r w:rsidRPr="009973DC">
        <w:rPr>
          <w:rFonts w:ascii="Helvetica" w:eastAsia="Calibri" w:hAnsi="Helvetica"/>
          <w:b/>
          <w:szCs w:val="22"/>
          <w:lang w:val="es-ES_tradnl" w:eastAsia="en-US"/>
        </w:rPr>
        <w:t xml:space="preserve">EN </w:t>
      </w:r>
      <w:proofErr w:type="spellStart"/>
      <w:r w:rsidRPr="009973DC">
        <w:rPr>
          <w:rFonts w:ascii="Helvetica" w:eastAsia="Calibri" w:hAnsi="Helvetica"/>
          <w:b/>
          <w:szCs w:val="22"/>
          <w:lang w:val="es-ES_tradnl" w:eastAsia="en-US"/>
        </w:rPr>
        <w:t>SESION</w:t>
      </w:r>
      <w:proofErr w:type="spellEnd"/>
      <w:r w:rsidRPr="009973DC">
        <w:rPr>
          <w:rFonts w:ascii="Helvetica" w:eastAsia="Calibri" w:hAnsi="Helvetica"/>
          <w:b/>
          <w:szCs w:val="22"/>
          <w:lang w:val="es-ES_tradnl" w:eastAsia="en-US"/>
        </w:rPr>
        <w:t xml:space="preserve"> DE FECHA  14  DE ENERO DE  2015</w:t>
      </w:r>
    </w:p>
    <w:p w:rsidR="009973DC" w:rsidRPr="009973DC" w:rsidRDefault="009973DC" w:rsidP="009973DC">
      <w:pPr>
        <w:tabs>
          <w:tab w:val="center" w:pos="4253"/>
        </w:tabs>
        <w:suppressAutoHyphens/>
        <w:spacing w:after="200" w:line="276" w:lineRule="auto"/>
        <w:jc w:val="center"/>
        <w:rPr>
          <w:rFonts w:ascii="Helvetica" w:eastAsia="Calibri" w:hAnsi="Helvetica"/>
          <w:b/>
          <w:szCs w:val="22"/>
          <w:lang w:val="es-UY" w:eastAsia="en-US"/>
        </w:rPr>
      </w:pPr>
      <w:r w:rsidRPr="009973DC">
        <w:rPr>
          <w:rFonts w:ascii="Helvetica" w:eastAsia="Calibri" w:hAnsi="Helvetica"/>
          <w:b/>
          <w:szCs w:val="22"/>
          <w:lang w:val="es-UY" w:eastAsia="en-US"/>
        </w:rPr>
        <w:t xml:space="preserve">(E. E. Nº </w:t>
      </w:r>
      <w:r>
        <w:rPr>
          <w:rFonts w:ascii="Helvetica" w:eastAsia="Calibri" w:hAnsi="Helvetica"/>
          <w:b/>
          <w:szCs w:val="22"/>
          <w:lang w:val="es-UY" w:eastAsia="en-US"/>
        </w:rPr>
        <w:t>2014-17-1-0009070</w:t>
      </w:r>
      <w:r w:rsidRPr="009973DC">
        <w:rPr>
          <w:rFonts w:ascii="Helvetica" w:eastAsia="Calibri" w:hAnsi="Helvetica"/>
          <w:b/>
          <w:szCs w:val="22"/>
          <w:lang w:val="es-UY" w:eastAsia="en-US"/>
        </w:rPr>
        <w:t xml:space="preserve">, </w:t>
      </w:r>
      <w:proofErr w:type="spellStart"/>
      <w:r w:rsidRPr="009973DC">
        <w:rPr>
          <w:rFonts w:ascii="Helvetica" w:eastAsia="Calibri" w:hAnsi="Helvetica"/>
          <w:b/>
          <w:szCs w:val="22"/>
          <w:lang w:val="es-UY" w:eastAsia="en-US"/>
        </w:rPr>
        <w:t>Ent</w:t>
      </w:r>
      <w:proofErr w:type="spellEnd"/>
      <w:r w:rsidRPr="009973DC">
        <w:rPr>
          <w:rFonts w:ascii="Helvetica" w:eastAsia="Calibri" w:hAnsi="Helvetica"/>
          <w:b/>
          <w:szCs w:val="22"/>
          <w:lang w:val="es-UY" w:eastAsia="en-US"/>
        </w:rPr>
        <w:t>. N°</w:t>
      </w:r>
      <w:r>
        <w:rPr>
          <w:rFonts w:ascii="Helvetica" w:eastAsia="Calibri" w:hAnsi="Helvetica"/>
          <w:b/>
          <w:szCs w:val="22"/>
          <w:lang w:val="es-UY" w:eastAsia="en-US"/>
        </w:rPr>
        <w:t xml:space="preserve"> 7193/14</w:t>
      </w:r>
      <w:bookmarkStart w:id="0" w:name="_GoBack"/>
      <w:bookmarkEnd w:id="0"/>
      <w:r w:rsidRPr="009973DC">
        <w:rPr>
          <w:rFonts w:ascii="Helvetica" w:eastAsia="Calibri" w:hAnsi="Helvetica"/>
          <w:b/>
          <w:szCs w:val="22"/>
          <w:lang w:val="es-UY" w:eastAsia="en-US"/>
        </w:rPr>
        <w:t xml:space="preserve"> )</w:t>
      </w:r>
    </w:p>
    <w:p w:rsidR="00F91F84" w:rsidRDefault="00F91F84">
      <w:pPr>
        <w:rPr>
          <w:sz w:val="26"/>
          <w:szCs w:val="26"/>
        </w:rPr>
      </w:pPr>
    </w:p>
    <w:p w:rsidR="008D4442" w:rsidRDefault="008D4442">
      <w:pPr>
        <w:rPr>
          <w:sz w:val="26"/>
          <w:szCs w:val="26"/>
        </w:rPr>
      </w:pPr>
    </w:p>
    <w:p w:rsidR="00887065" w:rsidRPr="00CB40EA" w:rsidRDefault="00887065" w:rsidP="008D4442">
      <w:pPr>
        <w:pStyle w:val="Textoindependiente"/>
        <w:spacing w:line="360" w:lineRule="auto"/>
        <w:ind w:firstLine="708"/>
        <w:rPr>
          <w:rFonts w:cs="Arial"/>
          <w:u w:val="single"/>
        </w:rPr>
      </w:pPr>
      <w:r w:rsidRPr="00CB40EA">
        <w:rPr>
          <w:rFonts w:cs="Arial"/>
          <w:b/>
          <w:bCs/>
        </w:rPr>
        <w:t>VISTO:</w:t>
      </w:r>
      <w:r w:rsidRPr="00CB40EA">
        <w:rPr>
          <w:rFonts w:cs="Arial"/>
        </w:rPr>
        <w:t xml:space="preserve"> la consulta remitida por la Contadora Delegada de este Tribunal ante la Administración de Educación </w:t>
      </w:r>
      <w:r w:rsidR="002C219E" w:rsidRPr="00CB40EA">
        <w:rPr>
          <w:rFonts w:cs="Arial"/>
        </w:rPr>
        <w:t>Pública</w:t>
      </w:r>
      <w:r w:rsidRPr="00CB40EA">
        <w:rPr>
          <w:rFonts w:cs="Arial"/>
        </w:rPr>
        <w:t xml:space="preserve"> (A.N.E.P.)</w:t>
      </w:r>
      <w:r w:rsidR="002C219E">
        <w:rPr>
          <w:rFonts w:cs="Arial"/>
        </w:rPr>
        <w:t>,</w:t>
      </w:r>
      <w:r w:rsidRPr="00CB40EA">
        <w:rPr>
          <w:rFonts w:cs="Arial"/>
        </w:rPr>
        <w:t xml:space="preserve"> relacionadas con  la Resolución adoptada por el Consejo de Educación Secundaria</w:t>
      </w:r>
      <w:r w:rsidR="002C219E">
        <w:rPr>
          <w:rFonts w:cs="Arial"/>
        </w:rPr>
        <w:t xml:space="preserve"> e</w:t>
      </w:r>
      <w:r>
        <w:rPr>
          <w:rFonts w:cs="Arial"/>
        </w:rPr>
        <w:t>l</w:t>
      </w:r>
      <w:r w:rsidRPr="00CB40EA">
        <w:rPr>
          <w:rFonts w:cs="Arial"/>
        </w:rPr>
        <w:t xml:space="preserve"> 9 de octubre de 2014, en la que se resuelve abonar a</w:t>
      </w:r>
      <w:r>
        <w:rPr>
          <w:rFonts w:cs="Arial"/>
        </w:rPr>
        <w:t xml:space="preserve"> la ex Adscripta Sra. </w:t>
      </w:r>
      <w:r w:rsidRPr="00CB40EA">
        <w:rPr>
          <w:rFonts w:cs="Arial"/>
        </w:rPr>
        <w:t>Mirta Sosa</w:t>
      </w:r>
      <w:r>
        <w:rPr>
          <w:rFonts w:cs="Arial"/>
        </w:rPr>
        <w:t>,</w:t>
      </w:r>
      <w:r w:rsidRPr="00CB40EA">
        <w:rPr>
          <w:rFonts w:cs="Arial"/>
        </w:rPr>
        <w:t xml:space="preserve"> retribuciones correspondientes a los años 2001y 2002 al costo horario 2014;</w:t>
      </w:r>
    </w:p>
    <w:p w:rsidR="00887065" w:rsidRPr="00CB40EA" w:rsidRDefault="00887065" w:rsidP="008D4442">
      <w:pPr>
        <w:pStyle w:val="Textoindependiente"/>
        <w:spacing w:line="360" w:lineRule="auto"/>
        <w:ind w:firstLine="708"/>
        <w:rPr>
          <w:rFonts w:cs="Arial"/>
        </w:rPr>
      </w:pPr>
      <w:r w:rsidRPr="00CB40EA">
        <w:rPr>
          <w:rFonts w:cs="Arial"/>
          <w:b/>
          <w:bCs/>
        </w:rPr>
        <w:t>RESULTANDO:</w:t>
      </w:r>
      <w:r w:rsidRPr="00CB40EA">
        <w:rPr>
          <w:rFonts w:cs="Arial"/>
        </w:rPr>
        <w:t xml:space="preserve"> </w:t>
      </w:r>
      <w:r w:rsidRPr="00CB40EA">
        <w:rPr>
          <w:rFonts w:cs="Arial"/>
          <w:b/>
          <w:bCs/>
        </w:rPr>
        <w:t xml:space="preserve">1) </w:t>
      </w:r>
      <w:r w:rsidRPr="00CB40EA">
        <w:rPr>
          <w:rFonts w:cs="Arial"/>
          <w:bCs/>
        </w:rPr>
        <w:t>que surge de</w:t>
      </w:r>
      <w:r w:rsidRPr="00CB40EA">
        <w:rPr>
          <w:rFonts w:cs="Arial"/>
        </w:rPr>
        <w:t xml:space="preserve"> estos obrados, que la ex Adscripta Sra. Mirta Sosa, presentó un reclamo ante A.N.E.P. de haberes impagos correspondiente al período comprendido entre mayo de 2001 y enero del 2002, señalando que no se efectivizó el cobro de los mismos en el período reclamado por haberse encontrado con una enfermedad psiquiátrica e internada;</w:t>
      </w:r>
    </w:p>
    <w:p w:rsidR="008D4442" w:rsidRDefault="008D4442" w:rsidP="008D4442">
      <w:pPr>
        <w:pStyle w:val="Textoindependiente"/>
        <w:spacing w:line="360" w:lineRule="auto"/>
        <w:ind w:firstLine="2552"/>
        <w:rPr>
          <w:rFonts w:cs="Arial"/>
        </w:rPr>
      </w:pPr>
      <w:r>
        <w:rPr>
          <w:rFonts w:cs="Arial"/>
          <w:b/>
        </w:rPr>
        <w:t xml:space="preserve"> </w:t>
      </w:r>
      <w:r w:rsidR="00887065" w:rsidRPr="00CB40EA">
        <w:rPr>
          <w:rFonts w:cs="Arial"/>
          <w:b/>
        </w:rPr>
        <w:t>2)</w:t>
      </w:r>
      <w:r w:rsidR="00887065" w:rsidRPr="00CB40EA">
        <w:rPr>
          <w:rFonts w:cs="Arial"/>
        </w:rPr>
        <w:t xml:space="preserve"> que la División Hacienda de la A.N.E.P., por informe elaborado el 10/4/14,  señaló que los haberes reclamados  no cobrados en el período mayo/2001 a enero/2002, corresponden a un período no trabajado y sin licencias médicas, señalándose por otra parte que al tratarse de ejercicios que exceden los cuatro años ha operado la caducidad de reclamos al Estado;</w:t>
      </w:r>
    </w:p>
    <w:p w:rsidR="008D4442" w:rsidRDefault="008D4442" w:rsidP="008D4442">
      <w:pPr>
        <w:pStyle w:val="Textoindependiente"/>
        <w:spacing w:line="360" w:lineRule="auto"/>
        <w:ind w:firstLine="2552"/>
        <w:rPr>
          <w:rFonts w:cs="Arial"/>
        </w:rPr>
      </w:pPr>
      <w:r>
        <w:rPr>
          <w:rFonts w:cs="Arial"/>
          <w:b/>
        </w:rPr>
        <w:t xml:space="preserve"> </w:t>
      </w:r>
      <w:r w:rsidR="00887065" w:rsidRPr="00CB40EA">
        <w:rPr>
          <w:rFonts w:cs="Arial"/>
          <w:b/>
        </w:rPr>
        <w:t>3)</w:t>
      </w:r>
      <w:r w:rsidR="00887065" w:rsidRPr="00CB40EA">
        <w:rPr>
          <w:rFonts w:cs="Arial"/>
        </w:rPr>
        <w:t xml:space="preserve"> que por informe elaborado el  10</w:t>
      </w:r>
      <w:r w:rsidR="00887065">
        <w:rPr>
          <w:rFonts w:cs="Arial"/>
        </w:rPr>
        <w:t xml:space="preserve"> de junio de 2014,  se señaló</w:t>
      </w:r>
      <w:r w:rsidR="00887065" w:rsidRPr="00CB40EA">
        <w:rPr>
          <w:rFonts w:cs="Arial"/>
        </w:rPr>
        <w:t xml:space="preserve"> que si bien en el año 2002 el Consejo de Educación Secundaria resolvió declarar el abandono del cargo de la Sra. Sosa  y que surge que en el período reclamado comprendido entre mayo del 2001 a enero de 2002 no consta que la misma haya estado internada  en el Hospital </w:t>
      </w:r>
      <w:proofErr w:type="spellStart"/>
      <w:r w:rsidR="00887065" w:rsidRPr="00CB40EA">
        <w:rPr>
          <w:rFonts w:cs="Arial"/>
        </w:rPr>
        <w:t>Villardebó</w:t>
      </w:r>
      <w:proofErr w:type="spellEnd"/>
      <w:r w:rsidR="00887065" w:rsidRPr="00CB40EA">
        <w:rPr>
          <w:rFonts w:cs="Arial"/>
        </w:rPr>
        <w:t xml:space="preserve"> –como alega-, surge de obrados que la misma tuvo un hijo lo que hubiera ameritado una licencia por maternidad, pero por doce semanas</w:t>
      </w:r>
      <w:r w:rsidR="00887065">
        <w:rPr>
          <w:rFonts w:cs="Arial"/>
        </w:rPr>
        <w:t xml:space="preserve">. Asimismo, se informó en </w:t>
      </w:r>
      <w:r w:rsidR="00887065">
        <w:rPr>
          <w:rFonts w:cs="Arial"/>
        </w:rPr>
        <w:lastRenderedPageBreak/>
        <w:t>dicha instancia que la prescripción no opera de pleno derecho, a diferencia la caducidad que opera ipso iure</w:t>
      </w:r>
      <w:r w:rsidR="00887065" w:rsidRPr="00CB40EA">
        <w:rPr>
          <w:rFonts w:cs="Arial"/>
        </w:rPr>
        <w:t xml:space="preserve">; </w:t>
      </w:r>
    </w:p>
    <w:p w:rsidR="008D4442" w:rsidRDefault="00887065" w:rsidP="008D4442">
      <w:pPr>
        <w:pStyle w:val="Textoindependiente"/>
        <w:spacing w:line="360" w:lineRule="auto"/>
        <w:ind w:firstLine="2552"/>
        <w:rPr>
          <w:rFonts w:cs="Arial"/>
        </w:rPr>
      </w:pPr>
      <w:r w:rsidRPr="00CB40EA">
        <w:rPr>
          <w:rFonts w:cs="Arial"/>
          <w:b/>
        </w:rPr>
        <w:t>4)</w:t>
      </w:r>
      <w:r w:rsidRPr="00CB40EA">
        <w:rPr>
          <w:rFonts w:cs="Arial"/>
        </w:rPr>
        <w:t xml:space="preserve"> que por Resolución del Consejo de Educación Secundaria del 9/10/14, se dispuso encomendar a la División Hacienda el cálculo y pago de los haberes que le hubieran correspondiendo a la Sra. Mirtha Sosa por licencia maternal (3 meses) y 5 meses por medio horario, al costo horario 2014;</w:t>
      </w:r>
    </w:p>
    <w:p w:rsidR="00887065" w:rsidRPr="008D4442" w:rsidRDefault="00887065" w:rsidP="008D4442">
      <w:pPr>
        <w:pStyle w:val="Textoindependiente"/>
        <w:spacing w:line="360" w:lineRule="auto"/>
        <w:ind w:firstLine="2552"/>
        <w:rPr>
          <w:rFonts w:cs="Arial"/>
        </w:rPr>
      </w:pPr>
      <w:r w:rsidRPr="00CB40EA">
        <w:rPr>
          <w:rFonts w:cs="Arial"/>
          <w:b/>
        </w:rPr>
        <w:t>5)</w:t>
      </w:r>
      <w:r w:rsidRPr="00CB40EA">
        <w:rPr>
          <w:rFonts w:cs="Arial"/>
        </w:rPr>
        <w:t xml:space="preserve"> que teniendo en cuenta lo dispuesto por la mencionada Resolución, la Contadora Delegada  ante A.N.E.P., consulta a este Tribunal, respecto a la legalidad del gasto de la Resolución adoptada por la que se resuelve abonar retribuciones correspondiente a los años 2001y 2002 </w:t>
      </w:r>
      <w:r w:rsidRPr="00CB40EA">
        <w:rPr>
          <w:rFonts w:cs="Arial"/>
          <w:u w:val="single"/>
        </w:rPr>
        <w:t>al costo horario 2014.;</w:t>
      </w:r>
    </w:p>
    <w:p w:rsidR="00887065" w:rsidRPr="00CB40EA" w:rsidRDefault="00887065" w:rsidP="008D4442">
      <w:pPr>
        <w:spacing w:line="360" w:lineRule="auto"/>
        <w:ind w:firstLine="708"/>
        <w:jc w:val="both"/>
        <w:rPr>
          <w:rFonts w:cs="Arial"/>
        </w:rPr>
      </w:pPr>
      <w:r w:rsidRPr="00CB40EA">
        <w:rPr>
          <w:rFonts w:cs="Arial"/>
          <w:b/>
          <w:bCs/>
        </w:rPr>
        <w:t>CONSIDERANDO:</w:t>
      </w:r>
      <w:r w:rsidRPr="00CB40EA">
        <w:rPr>
          <w:rFonts w:cs="Arial"/>
        </w:rPr>
        <w:t xml:space="preserve"> </w:t>
      </w:r>
      <w:r w:rsidRPr="00CB40EA">
        <w:rPr>
          <w:rFonts w:cs="Arial"/>
          <w:b/>
          <w:bCs/>
        </w:rPr>
        <w:t>1)</w:t>
      </w:r>
      <w:r w:rsidRPr="00CB40EA">
        <w:rPr>
          <w:rFonts w:cs="Arial"/>
        </w:rPr>
        <w:t xml:space="preserve"> que en cuanto refiere al efecto del transcurso del tiempo en el derecho de crédito mencionado,  corresponde señalar que, tratándose de remuneraciones personales, resulta aplicable el régimen de prescripción establecido por la Ley Nº 16.226 (art. 8)  y no el de caducidad </w:t>
      </w:r>
      <w:proofErr w:type="spellStart"/>
      <w:r w:rsidRPr="00CB40EA">
        <w:rPr>
          <w:rFonts w:cs="Arial"/>
        </w:rPr>
        <w:t>convocable</w:t>
      </w:r>
      <w:proofErr w:type="spellEnd"/>
      <w:r w:rsidRPr="00CB40EA">
        <w:rPr>
          <w:rFonts w:cs="Arial"/>
        </w:rPr>
        <w:t xml:space="preserve"> en tema de otros créditos que no correspondan a remuneraciones personales;</w:t>
      </w:r>
    </w:p>
    <w:p w:rsidR="008D4442" w:rsidRDefault="00887065" w:rsidP="008D4442">
      <w:pPr>
        <w:pStyle w:val="Textoindependiente"/>
        <w:spacing w:line="360" w:lineRule="auto"/>
        <w:ind w:firstLine="2835"/>
        <w:rPr>
          <w:rFonts w:cs="Arial"/>
        </w:rPr>
      </w:pPr>
      <w:r w:rsidRPr="00CB40EA">
        <w:rPr>
          <w:rFonts w:cs="Arial"/>
          <w:b/>
          <w:bCs/>
        </w:rPr>
        <w:t xml:space="preserve">2) </w:t>
      </w:r>
      <w:r w:rsidRPr="00CB40EA">
        <w:rPr>
          <w:rFonts w:cs="Arial"/>
          <w:bCs/>
        </w:rPr>
        <w:t>que s</w:t>
      </w:r>
      <w:r w:rsidRPr="00CB40EA">
        <w:rPr>
          <w:rFonts w:cs="Arial"/>
        </w:rPr>
        <w:t>iendo ello así, se concluye que en la especie no ha operado la prescripción  del  crédito referido,  en virtud que la misma no opera de pleno derecho sino que requiere solicitud de parte;</w:t>
      </w:r>
    </w:p>
    <w:p w:rsidR="00887065" w:rsidRPr="00CB40EA" w:rsidRDefault="00887065" w:rsidP="008D4442">
      <w:pPr>
        <w:pStyle w:val="Textoindependiente"/>
        <w:spacing w:line="360" w:lineRule="auto"/>
        <w:ind w:firstLine="2835"/>
        <w:rPr>
          <w:rFonts w:cs="Arial"/>
        </w:rPr>
      </w:pPr>
      <w:r w:rsidRPr="00CB40EA">
        <w:rPr>
          <w:rFonts w:cs="Arial"/>
          <w:b/>
        </w:rPr>
        <w:t>3)</w:t>
      </w:r>
      <w:r w:rsidRPr="00CB40EA">
        <w:rPr>
          <w:rFonts w:cs="Arial"/>
        </w:rPr>
        <w:t xml:space="preserve"> que por su parte, en lo que respecta al quantum del crédito a pagarse,  a juicio del suscrito, la base o referencia salarial que debió tomarse en cuenta  para cuantificar el valor a pagar  a la reclamante,  es la correspondiente al valor hora del período reclamado (2001-2002), sin perjuicio de posteriores actualizaciones.  Ello, por cuanto el derecho de crédito cuya cancelación se procura realizar en esta instancia, se generó y refiere a remuneraciones  de dicho período;</w:t>
      </w:r>
    </w:p>
    <w:p w:rsidR="00887065" w:rsidRPr="00CB40EA" w:rsidRDefault="008D4442" w:rsidP="008D4442">
      <w:pPr>
        <w:spacing w:line="360" w:lineRule="auto"/>
        <w:jc w:val="both"/>
        <w:rPr>
          <w:rFonts w:cs="Arial"/>
        </w:rPr>
      </w:pPr>
      <w:r>
        <w:rPr>
          <w:rFonts w:cs="Arial"/>
          <w:b/>
          <w:bCs/>
        </w:rPr>
        <w:t xml:space="preserve"> </w:t>
      </w:r>
      <w:r>
        <w:rPr>
          <w:rFonts w:cs="Arial"/>
          <w:b/>
          <w:bCs/>
        </w:rPr>
        <w:tab/>
      </w:r>
      <w:r w:rsidR="00887065" w:rsidRPr="00CB40EA">
        <w:rPr>
          <w:rFonts w:cs="Arial"/>
          <w:b/>
          <w:bCs/>
        </w:rPr>
        <w:t xml:space="preserve">ATENTO: </w:t>
      </w:r>
      <w:r w:rsidR="00887065" w:rsidRPr="00CB40EA">
        <w:rPr>
          <w:rFonts w:cs="Arial"/>
        </w:rPr>
        <w:t>a lo precedentemente expuesto;</w:t>
      </w:r>
    </w:p>
    <w:p w:rsidR="00887065" w:rsidRPr="00887065" w:rsidRDefault="00887065" w:rsidP="008D4442">
      <w:pPr>
        <w:pStyle w:val="Ttulo1"/>
        <w:spacing w:before="0"/>
        <w:jc w:val="center"/>
        <w:rPr>
          <w:rFonts w:ascii="Arial" w:hAnsi="Arial" w:cs="Arial"/>
          <w:color w:val="auto"/>
          <w:sz w:val="24"/>
          <w:szCs w:val="24"/>
        </w:rPr>
      </w:pPr>
      <w:r w:rsidRPr="00887065">
        <w:rPr>
          <w:rFonts w:ascii="Arial" w:hAnsi="Arial" w:cs="Arial"/>
          <w:color w:val="auto"/>
          <w:sz w:val="24"/>
          <w:szCs w:val="24"/>
        </w:rPr>
        <w:lastRenderedPageBreak/>
        <w:t>EL TRIBUNAL ACUERDA</w:t>
      </w:r>
    </w:p>
    <w:p w:rsidR="00887065" w:rsidRPr="00CB40EA" w:rsidRDefault="00887065" w:rsidP="008D4442">
      <w:pPr>
        <w:numPr>
          <w:ilvl w:val="0"/>
          <w:numId w:val="1"/>
        </w:numPr>
        <w:tabs>
          <w:tab w:val="clear" w:pos="720"/>
          <w:tab w:val="num" w:pos="284"/>
        </w:tabs>
        <w:spacing w:line="360" w:lineRule="auto"/>
        <w:ind w:hanging="720"/>
        <w:rPr>
          <w:rFonts w:cs="Arial"/>
        </w:rPr>
      </w:pPr>
      <w:r w:rsidRPr="00CB40EA">
        <w:rPr>
          <w:rFonts w:cs="Arial"/>
        </w:rPr>
        <w:t>Evacuar la consulta en los términos de los presentes Considerando;</w:t>
      </w:r>
    </w:p>
    <w:p w:rsidR="00887065" w:rsidRDefault="00887065" w:rsidP="008D4442">
      <w:pPr>
        <w:numPr>
          <w:ilvl w:val="0"/>
          <w:numId w:val="1"/>
        </w:numPr>
        <w:tabs>
          <w:tab w:val="clear" w:pos="720"/>
          <w:tab w:val="num" w:pos="284"/>
        </w:tabs>
        <w:spacing w:line="360" w:lineRule="auto"/>
        <w:ind w:hanging="720"/>
        <w:rPr>
          <w:rFonts w:cs="Arial"/>
        </w:rPr>
      </w:pPr>
      <w:r w:rsidRPr="00CB40EA">
        <w:rPr>
          <w:rFonts w:cs="Arial"/>
        </w:rPr>
        <w:t>Comunicar a la Contadora Delegada;</w:t>
      </w:r>
      <w:r w:rsidR="008D4442">
        <w:rPr>
          <w:rFonts w:cs="Arial"/>
        </w:rPr>
        <w:t xml:space="preserve"> y</w:t>
      </w:r>
    </w:p>
    <w:p w:rsidR="002C219E" w:rsidRPr="00CB40EA" w:rsidRDefault="002C219E" w:rsidP="008D4442">
      <w:pPr>
        <w:numPr>
          <w:ilvl w:val="0"/>
          <w:numId w:val="1"/>
        </w:numPr>
        <w:tabs>
          <w:tab w:val="clear" w:pos="720"/>
          <w:tab w:val="num" w:pos="284"/>
        </w:tabs>
        <w:spacing w:line="360" w:lineRule="auto"/>
        <w:ind w:hanging="720"/>
        <w:rPr>
          <w:rFonts w:cs="Arial"/>
        </w:rPr>
      </w:pPr>
      <w:r>
        <w:rPr>
          <w:rFonts w:cs="Arial"/>
        </w:rPr>
        <w:t>Devolver las actuaciones;</w:t>
      </w:r>
    </w:p>
    <w:p w:rsidR="008D4442" w:rsidRDefault="008D4442" w:rsidP="008D4442">
      <w:pPr>
        <w:spacing w:line="360" w:lineRule="auto"/>
        <w:rPr>
          <w:rFonts w:cs="Arial"/>
        </w:rPr>
      </w:pPr>
    </w:p>
    <w:p w:rsidR="008D4442" w:rsidRDefault="008D4442" w:rsidP="008D4442">
      <w:pPr>
        <w:spacing w:line="360" w:lineRule="auto"/>
        <w:rPr>
          <w:rFonts w:cs="Arial"/>
        </w:rPr>
      </w:pPr>
    </w:p>
    <w:p w:rsidR="008D4442" w:rsidRPr="00CB40EA" w:rsidRDefault="008D4442" w:rsidP="008D4442">
      <w:pPr>
        <w:spacing w:line="360" w:lineRule="auto"/>
        <w:rPr>
          <w:rFonts w:cs="Arial"/>
        </w:rPr>
      </w:pPr>
      <w:proofErr w:type="spellStart"/>
      <w:proofErr w:type="gramStart"/>
      <w:r>
        <w:rPr>
          <w:rFonts w:cs="Arial"/>
        </w:rPr>
        <w:t>aa</w:t>
      </w:r>
      <w:proofErr w:type="spellEnd"/>
      <w:proofErr w:type="gramEnd"/>
    </w:p>
    <w:sectPr w:rsidR="008D4442" w:rsidRPr="00CB40EA" w:rsidSect="000D46AB">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F3D89"/>
    <w:multiLevelType w:val="hybridMultilevel"/>
    <w:tmpl w:val="70B8B87C"/>
    <w:lvl w:ilvl="0" w:tplc="DEE6BCD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866"/>
    <w:rsid w:val="00061D24"/>
    <w:rsid w:val="000D46AB"/>
    <w:rsid w:val="001D155F"/>
    <w:rsid w:val="002C219E"/>
    <w:rsid w:val="002F44B3"/>
    <w:rsid w:val="00306DE1"/>
    <w:rsid w:val="00657CD4"/>
    <w:rsid w:val="00695134"/>
    <w:rsid w:val="007B787B"/>
    <w:rsid w:val="00887065"/>
    <w:rsid w:val="008D4442"/>
    <w:rsid w:val="00954151"/>
    <w:rsid w:val="009973DC"/>
    <w:rsid w:val="00A46DCA"/>
    <w:rsid w:val="00C13866"/>
    <w:rsid w:val="00D51AFA"/>
    <w:rsid w:val="00D54172"/>
    <w:rsid w:val="00F91F84"/>
    <w:rsid w:val="00FD20F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866"/>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8870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C13866"/>
    <w:pPr>
      <w:keepNext/>
      <w:spacing w:line="360" w:lineRule="auto"/>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13866"/>
    <w:rPr>
      <w:rFonts w:ascii="Arial" w:eastAsia="Times New Roman" w:hAnsi="Arial" w:cs="Times New Roman"/>
      <w:b/>
      <w:bCs/>
      <w:sz w:val="24"/>
      <w:szCs w:val="24"/>
      <w:lang w:val="es-ES" w:eastAsia="es-ES"/>
    </w:rPr>
  </w:style>
  <w:style w:type="paragraph" w:styleId="Textoindependiente">
    <w:name w:val="Body Text"/>
    <w:basedOn w:val="Normal"/>
    <w:link w:val="TextoindependienteCar"/>
    <w:semiHidden/>
    <w:rsid w:val="00C13866"/>
    <w:pPr>
      <w:jc w:val="both"/>
    </w:pPr>
  </w:style>
  <w:style w:type="character" w:customStyle="1" w:styleId="TextoindependienteCar">
    <w:name w:val="Texto independiente Car"/>
    <w:basedOn w:val="Fuentedeprrafopredeter"/>
    <w:link w:val="Textoindependiente"/>
    <w:semiHidden/>
    <w:rsid w:val="00C13866"/>
    <w:rPr>
      <w:rFonts w:ascii="Arial" w:eastAsia="Times New Roman" w:hAnsi="Arial" w:cs="Times New Roman"/>
      <w:sz w:val="24"/>
      <w:szCs w:val="24"/>
      <w:lang w:val="es-ES" w:eastAsia="es-ES"/>
    </w:rPr>
  </w:style>
  <w:style w:type="character" w:customStyle="1" w:styleId="Ttulo1Car">
    <w:name w:val="Título 1 Car"/>
    <w:basedOn w:val="Fuentedeprrafopredeter"/>
    <w:link w:val="Ttulo1"/>
    <w:uiPriority w:val="9"/>
    <w:rsid w:val="00887065"/>
    <w:rPr>
      <w:rFonts w:asciiTheme="majorHAnsi" w:eastAsiaTheme="majorEastAsia" w:hAnsiTheme="majorHAnsi" w:cstheme="majorBidi"/>
      <w:b/>
      <w:bCs/>
      <w:color w:val="365F91" w:themeColor="accent1" w:themeShade="BF"/>
      <w:sz w:val="28"/>
      <w:szCs w:val="28"/>
      <w:lang w:val="es-ES" w:eastAsia="es-ES"/>
    </w:rPr>
  </w:style>
  <w:style w:type="paragraph" w:styleId="Textodeglobo">
    <w:name w:val="Balloon Text"/>
    <w:basedOn w:val="Normal"/>
    <w:link w:val="TextodegloboCar"/>
    <w:uiPriority w:val="99"/>
    <w:semiHidden/>
    <w:unhideWhenUsed/>
    <w:rsid w:val="008D4442"/>
    <w:rPr>
      <w:rFonts w:ascii="Tahoma" w:hAnsi="Tahoma" w:cs="Tahoma"/>
      <w:sz w:val="16"/>
      <w:szCs w:val="16"/>
    </w:rPr>
  </w:style>
  <w:style w:type="character" w:customStyle="1" w:styleId="TextodegloboCar">
    <w:name w:val="Texto de globo Car"/>
    <w:basedOn w:val="Fuentedeprrafopredeter"/>
    <w:link w:val="Textodeglobo"/>
    <w:uiPriority w:val="99"/>
    <w:semiHidden/>
    <w:rsid w:val="008D4442"/>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866"/>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8870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C13866"/>
    <w:pPr>
      <w:keepNext/>
      <w:spacing w:line="360" w:lineRule="auto"/>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C13866"/>
    <w:rPr>
      <w:rFonts w:ascii="Arial" w:eastAsia="Times New Roman" w:hAnsi="Arial" w:cs="Times New Roman"/>
      <w:b/>
      <w:bCs/>
      <w:sz w:val="24"/>
      <w:szCs w:val="24"/>
      <w:lang w:val="es-ES" w:eastAsia="es-ES"/>
    </w:rPr>
  </w:style>
  <w:style w:type="paragraph" w:styleId="Textoindependiente">
    <w:name w:val="Body Text"/>
    <w:basedOn w:val="Normal"/>
    <w:link w:val="TextoindependienteCar"/>
    <w:semiHidden/>
    <w:rsid w:val="00C13866"/>
    <w:pPr>
      <w:jc w:val="both"/>
    </w:pPr>
  </w:style>
  <w:style w:type="character" w:customStyle="1" w:styleId="TextoindependienteCar">
    <w:name w:val="Texto independiente Car"/>
    <w:basedOn w:val="Fuentedeprrafopredeter"/>
    <w:link w:val="Textoindependiente"/>
    <w:semiHidden/>
    <w:rsid w:val="00C13866"/>
    <w:rPr>
      <w:rFonts w:ascii="Arial" w:eastAsia="Times New Roman" w:hAnsi="Arial" w:cs="Times New Roman"/>
      <w:sz w:val="24"/>
      <w:szCs w:val="24"/>
      <w:lang w:val="es-ES" w:eastAsia="es-ES"/>
    </w:rPr>
  </w:style>
  <w:style w:type="character" w:customStyle="1" w:styleId="Ttulo1Car">
    <w:name w:val="Título 1 Car"/>
    <w:basedOn w:val="Fuentedeprrafopredeter"/>
    <w:link w:val="Ttulo1"/>
    <w:uiPriority w:val="9"/>
    <w:rsid w:val="00887065"/>
    <w:rPr>
      <w:rFonts w:asciiTheme="majorHAnsi" w:eastAsiaTheme="majorEastAsia" w:hAnsiTheme="majorHAnsi" w:cstheme="majorBidi"/>
      <w:b/>
      <w:bCs/>
      <w:color w:val="365F91" w:themeColor="accent1" w:themeShade="BF"/>
      <w:sz w:val="28"/>
      <w:szCs w:val="28"/>
      <w:lang w:val="es-ES" w:eastAsia="es-ES"/>
    </w:rPr>
  </w:style>
  <w:style w:type="paragraph" w:styleId="Textodeglobo">
    <w:name w:val="Balloon Text"/>
    <w:basedOn w:val="Normal"/>
    <w:link w:val="TextodegloboCar"/>
    <w:uiPriority w:val="99"/>
    <w:semiHidden/>
    <w:unhideWhenUsed/>
    <w:rsid w:val="008D4442"/>
    <w:rPr>
      <w:rFonts w:ascii="Tahoma" w:hAnsi="Tahoma" w:cs="Tahoma"/>
      <w:sz w:val="16"/>
      <w:szCs w:val="16"/>
    </w:rPr>
  </w:style>
  <w:style w:type="character" w:customStyle="1" w:styleId="TextodegloboCar">
    <w:name w:val="Texto de globo Car"/>
    <w:basedOn w:val="Fuentedeprrafopredeter"/>
    <w:link w:val="Textodeglobo"/>
    <w:uiPriority w:val="99"/>
    <w:semiHidden/>
    <w:rsid w:val="008D4442"/>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564</Words>
  <Characters>3107</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Adrian Acosta</cp:lastModifiedBy>
  <cp:revision>3</cp:revision>
  <cp:lastPrinted>2015-01-15T14:38:00Z</cp:lastPrinted>
  <dcterms:created xsi:type="dcterms:W3CDTF">2015-01-15T13:55:00Z</dcterms:created>
  <dcterms:modified xsi:type="dcterms:W3CDTF">2015-01-15T14:38:00Z</dcterms:modified>
</cp:coreProperties>
</file>