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900" w:rsidRDefault="00BA690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BA6900" w:rsidRDefault="00BA6900">
      <w:pPr>
        <w:tabs>
          <w:tab w:val="left" w:pos="-720"/>
        </w:tabs>
        <w:suppressAutoHyphens/>
        <w:jc w:val="center"/>
        <w:rPr>
          <w:rFonts w:ascii="Helvetica" w:hAnsi="Helvetica"/>
          <w:b/>
          <w:lang w:val="es-ES_tradnl"/>
        </w:rPr>
      </w:pPr>
    </w:p>
    <w:p w:rsidR="00BA6900" w:rsidRDefault="00BA6900">
      <w:pPr>
        <w:tabs>
          <w:tab w:val="center" w:pos="4253"/>
        </w:tabs>
        <w:suppressAutoHyphens/>
        <w:jc w:val="center"/>
        <w:rPr>
          <w:rFonts w:ascii="Helvetica" w:hAnsi="Helvetica"/>
          <w:b/>
          <w:lang w:val="es-ES_tradnl"/>
        </w:rPr>
      </w:pPr>
      <w:r>
        <w:rPr>
          <w:rFonts w:ascii="Helvetica" w:hAnsi="Helvetica"/>
          <w:b/>
          <w:lang w:val="es-ES_tradnl"/>
        </w:rPr>
        <w:t>TRIBUNAL DE CUENTAS</w:t>
      </w:r>
    </w:p>
    <w:p w:rsidR="00BA6900" w:rsidRDefault="00BA6900">
      <w:pPr>
        <w:tabs>
          <w:tab w:val="left" w:pos="-720"/>
        </w:tabs>
        <w:suppressAutoHyphens/>
        <w:jc w:val="center"/>
        <w:rPr>
          <w:rFonts w:ascii="Helvetica" w:hAnsi="Helvetica"/>
          <w:b/>
          <w:lang w:val="es-ES_tradnl"/>
        </w:rPr>
      </w:pPr>
    </w:p>
    <w:p w:rsidR="00BA6900" w:rsidRDefault="00BA6900">
      <w:pPr>
        <w:tabs>
          <w:tab w:val="center" w:pos="4253"/>
        </w:tabs>
        <w:suppressAutoHyphens/>
        <w:jc w:val="center"/>
        <w:rPr>
          <w:rFonts w:ascii="Helvetica" w:hAnsi="Helvetica"/>
          <w:b/>
          <w:lang w:val="es-ES_tradnl"/>
        </w:rPr>
      </w:pPr>
      <w:r>
        <w:rPr>
          <w:rFonts w:ascii="Helvetica" w:hAnsi="Helvetica"/>
          <w:b/>
          <w:lang w:val="es-ES_tradnl"/>
        </w:rPr>
        <w:t>EN SESION DE FECHA  14  DE ENERO DE  2015</w:t>
      </w:r>
    </w:p>
    <w:p w:rsidR="00BA6900" w:rsidRDefault="00BA6900">
      <w:pPr>
        <w:tabs>
          <w:tab w:val="center" w:pos="4253"/>
        </w:tabs>
        <w:suppressAutoHyphens/>
        <w:jc w:val="center"/>
        <w:rPr>
          <w:rFonts w:ascii="Helvetica" w:hAnsi="Helvetica"/>
          <w:b/>
          <w:lang w:val="es-ES_tradnl"/>
        </w:rPr>
      </w:pPr>
    </w:p>
    <w:p w:rsidR="00BA6900" w:rsidRPr="00BA6900" w:rsidRDefault="00BA6900">
      <w:pPr>
        <w:tabs>
          <w:tab w:val="center" w:pos="4253"/>
        </w:tabs>
        <w:suppressAutoHyphens/>
        <w:jc w:val="center"/>
        <w:rPr>
          <w:rFonts w:ascii="Helvetica" w:hAnsi="Helvetica"/>
          <w:b/>
        </w:rPr>
      </w:pPr>
      <w:r w:rsidRPr="00BA6900">
        <w:rPr>
          <w:rFonts w:ascii="Helvetica" w:hAnsi="Helvetica"/>
          <w:b/>
        </w:rPr>
        <w:t>(E. E. Nº 2014-17-1-0009411, Ent. N° 7487/14)</w:t>
      </w:r>
    </w:p>
    <w:p w:rsidR="00BA6900" w:rsidRPr="00BA6900" w:rsidRDefault="00BA6900">
      <w:pPr>
        <w:tabs>
          <w:tab w:val="center" w:pos="4253"/>
        </w:tabs>
        <w:suppressAutoHyphens/>
        <w:jc w:val="center"/>
        <w:rPr>
          <w:rFonts w:ascii="Arial" w:hAnsi="Arial"/>
          <w:spacing w:val="-3"/>
        </w:rPr>
      </w:pPr>
    </w:p>
    <w:p w:rsidR="00BA6900" w:rsidRPr="00BA6900" w:rsidRDefault="00BA6900">
      <w:pPr>
        <w:tabs>
          <w:tab w:val="center" w:pos="4253"/>
        </w:tabs>
        <w:suppressAutoHyphens/>
        <w:rPr>
          <w:rFonts w:ascii="Arial" w:hAnsi="Arial"/>
          <w:spacing w:val="-3"/>
        </w:rPr>
      </w:pPr>
    </w:p>
    <w:p w:rsidR="00BA6900" w:rsidRDefault="0012062B" w:rsidP="00BA6900">
      <w:pPr>
        <w:spacing w:line="360" w:lineRule="auto"/>
        <w:ind w:firstLine="851"/>
        <w:jc w:val="both"/>
        <w:rPr>
          <w:rFonts w:ascii="Arial" w:hAnsi="Arial" w:cs="Arial"/>
          <w:lang w:val="es-MX"/>
        </w:rPr>
      </w:pPr>
      <w:r>
        <w:rPr>
          <w:rFonts w:ascii="Arial" w:hAnsi="Arial" w:cs="Arial"/>
          <w:b/>
          <w:bCs/>
          <w:lang w:val="es-MX"/>
        </w:rPr>
        <w:t>VISTO:</w:t>
      </w:r>
      <w:r>
        <w:rPr>
          <w:rFonts w:ascii="Arial" w:hAnsi="Arial" w:cs="Arial"/>
          <w:lang w:val="es-MX"/>
        </w:rPr>
        <w:t xml:space="preserve"> las actuaciones remitidas por el Banco de Seguros del Estado rel</w:t>
      </w:r>
      <w:r w:rsidR="00BA6900">
        <w:rPr>
          <w:rFonts w:ascii="Arial" w:hAnsi="Arial" w:cs="Arial"/>
          <w:lang w:val="es-MX"/>
        </w:rPr>
        <w:t>ativas a la Licitación Pública N</w:t>
      </w:r>
      <w:r>
        <w:rPr>
          <w:rFonts w:ascii="Arial" w:hAnsi="Arial" w:cs="Arial"/>
          <w:lang w:val="es-MX"/>
        </w:rPr>
        <w:t>º 1053/2014, para la contratación de una agencia de publicidad;</w:t>
      </w:r>
      <w:bookmarkStart w:id="0" w:name="_GoBack"/>
      <w:bookmarkEnd w:id="0"/>
    </w:p>
    <w:p w:rsidR="00BA6900" w:rsidRDefault="0012062B" w:rsidP="00BA6900">
      <w:pPr>
        <w:spacing w:line="360" w:lineRule="auto"/>
        <w:ind w:firstLine="851"/>
        <w:jc w:val="both"/>
        <w:rPr>
          <w:rFonts w:ascii="Arial" w:hAnsi="Arial" w:cs="Arial"/>
          <w:lang w:val="es-MX"/>
        </w:rPr>
      </w:pPr>
      <w:r>
        <w:rPr>
          <w:rFonts w:ascii="Arial" w:hAnsi="Arial" w:cs="Arial"/>
          <w:b/>
          <w:bCs/>
          <w:lang w:val="es-MX"/>
        </w:rPr>
        <w:t>RESULTANDO: 1)</w:t>
      </w:r>
      <w:r>
        <w:rPr>
          <w:rFonts w:ascii="Arial" w:hAnsi="Arial" w:cs="Arial"/>
          <w:lang w:val="es-MX"/>
        </w:rPr>
        <w:t xml:space="preserve"> que cumplido el requisito de publicidad con la debida antelación, se recibieron las ofertas, con fecha 17.01.14, se efectuó el acto de apertura de la primera etapa, presentándose cinco propuestas por parte de las </w:t>
      </w:r>
      <w:r w:rsidR="008D06A4">
        <w:rPr>
          <w:rFonts w:ascii="Arial" w:hAnsi="Arial" w:cs="Arial"/>
          <w:lang w:val="es-MX"/>
        </w:rPr>
        <w:t>F</w:t>
      </w:r>
      <w:r>
        <w:rPr>
          <w:rFonts w:ascii="Arial" w:hAnsi="Arial" w:cs="Arial"/>
          <w:lang w:val="es-MX"/>
        </w:rPr>
        <w:t xml:space="preserve">irmas: </w:t>
      </w:r>
      <w:r w:rsidR="008D06A4">
        <w:rPr>
          <w:rFonts w:ascii="Arial" w:hAnsi="Arial" w:cs="Arial"/>
          <w:b/>
          <w:lang w:val="es-MX"/>
        </w:rPr>
        <w:t>i</w:t>
      </w:r>
      <w:r w:rsidRPr="00BA6900">
        <w:rPr>
          <w:rFonts w:ascii="Arial" w:hAnsi="Arial" w:cs="Arial"/>
          <w:b/>
          <w:lang w:val="es-MX"/>
        </w:rPr>
        <w:t>)</w:t>
      </w:r>
      <w:r>
        <w:rPr>
          <w:rFonts w:ascii="Arial" w:hAnsi="Arial" w:cs="Arial"/>
          <w:lang w:val="es-MX"/>
        </w:rPr>
        <w:t xml:space="preserve"> C</w:t>
      </w:r>
      <w:r w:rsidR="008D06A4">
        <w:rPr>
          <w:rFonts w:ascii="Arial" w:hAnsi="Arial" w:cs="Arial"/>
          <w:lang w:val="es-MX"/>
        </w:rPr>
        <w:t>hilon</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w:t>
      </w:r>
      <w:r w:rsidR="008D06A4">
        <w:rPr>
          <w:rFonts w:ascii="Arial" w:hAnsi="Arial" w:cs="Arial"/>
          <w:b/>
          <w:lang w:val="es-MX"/>
        </w:rPr>
        <w:t>ii</w:t>
      </w:r>
      <w:r w:rsidRPr="00BA6900">
        <w:rPr>
          <w:rFonts w:ascii="Arial" w:hAnsi="Arial" w:cs="Arial"/>
          <w:b/>
          <w:lang w:val="es-MX"/>
        </w:rPr>
        <w:t>)</w:t>
      </w:r>
      <w:r>
        <w:rPr>
          <w:rFonts w:ascii="Arial" w:hAnsi="Arial" w:cs="Arial"/>
          <w:lang w:val="es-MX"/>
        </w:rPr>
        <w:t xml:space="preserve"> M</w:t>
      </w:r>
      <w:r w:rsidR="008D06A4">
        <w:rPr>
          <w:rFonts w:ascii="Arial" w:hAnsi="Arial" w:cs="Arial"/>
          <w:lang w:val="es-MX"/>
        </w:rPr>
        <w:t>initar</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 (L</w:t>
      </w:r>
      <w:r w:rsidR="008D06A4">
        <w:rPr>
          <w:rFonts w:ascii="Arial" w:hAnsi="Arial" w:cs="Arial"/>
          <w:lang w:val="es-MX"/>
        </w:rPr>
        <w:t>a</w:t>
      </w:r>
      <w:r w:rsidR="00BA6900">
        <w:rPr>
          <w:rFonts w:ascii="Arial" w:hAnsi="Arial" w:cs="Arial"/>
          <w:lang w:val="es-MX"/>
        </w:rPr>
        <w:t xml:space="preserve"> D</w:t>
      </w:r>
      <w:r w:rsidR="008D06A4">
        <w:rPr>
          <w:rFonts w:ascii="Arial" w:hAnsi="Arial" w:cs="Arial"/>
          <w:lang w:val="es-MX"/>
        </w:rPr>
        <w:t>iez</w:t>
      </w:r>
      <w:r w:rsidR="00BA6900">
        <w:rPr>
          <w:rFonts w:ascii="Arial" w:hAnsi="Arial" w:cs="Arial"/>
          <w:lang w:val="es-MX"/>
        </w:rPr>
        <w:t xml:space="preserve"> P</w:t>
      </w:r>
      <w:r w:rsidR="008D06A4">
        <w:rPr>
          <w:rFonts w:ascii="Arial" w:hAnsi="Arial" w:cs="Arial"/>
          <w:lang w:val="es-MX"/>
        </w:rPr>
        <w:t>ublicidad</w:t>
      </w:r>
      <w:r w:rsidR="00BA6900">
        <w:rPr>
          <w:rFonts w:ascii="Arial" w:hAnsi="Arial" w:cs="Arial"/>
          <w:lang w:val="es-MX"/>
        </w:rPr>
        <w:t xml:space="preserve">), </w:t>
      </w:r>
      <w:r w:rsidR="008D06A4">
        <w:rPr>
          <w:rFonts w:ascii="Arial" w:hAnsi="Arial" w:cs="Arial"/>
          <w:lang w:val="es-MX"/>
        </w:rPr>
        <w:t xml:space="preserve">          </w:t>
      </w:r>
      <w:r w:rsidR="008D06A4">
        <w:rPr>
          <w:rFonts w:ascii="Arial" w:hAnsi="Arial" w:cs="Arial"/>
          <w:b/>
          <w:lang w:val="es-MX"/>
        </w:rPr>
        <w:t>iii</w:t>
      </w:r>
      <w:r w:rsidRPr="00BA6900">
        <w:rPr>
          <w:rFonts w:ascii="Arial" w:hAnsi="Arial" w:cs="Arial"/>
          <w:b/>
          <w:lang w:val="es-MX"/>
        </w:rPr>
        <w:t>)</w:t>
      </w:r>
      <w:r>
        <w:rPr>
          <w:rFonts w:ascii="Arial" w:hAnsi="Arial" w:cs="Arial"/>
          <w:lang w:val="es-MX"/>
        </w:rPr>
        <w:t xml:space="preserve"> G</w:t>
      </w:r>
      <w:r w:rsidR="008D06A4">
        <w:rPr>
          <w:rFonts w:ascii="Arial" w:hAnsi="Arial" w:cs="Arial"/>
          <w:lang w:val="es-MX"/>
        </w:rPr>
        <w:t>rey</w:t>
      </w:r>
      <w:r>
        <w:rPr>
          <w:rFonts w:ascii="Arial" w:hAnsi="Arial" w:cs="Arial"/>
          <w:lang w:val="es-MX"/>
        </w:rPr>
        <w:t>, C</w:t>
      </w:r>
      <w:r w:rsidR="008D06A4">
        <w:rPr>
          <w:rFonts w:ascii="Arial" w:hAnsi="Arial" w:cs="Arial"/>
          <w:lang w:val="es-MX"/>
        </w:rPr>
        <w:t>asares</w:t>
      </w:r>
      <w:r>
        <w:rPr>
          <w:rFonts w:ascii="Arial" w:hAnsi="Arial" w:cs="Arial"/>
          <w:lang w:val="es-MX"/>
        </w:rPr>
        <w:t>, V</w:t>
      </w:r>
      <w:r w:rsidR="008D06A4">
        <w:rPr>
          <w:rFonts w:ascii="Arial" w:hAnsi="Arial" w:cs="Arial"/>
          <w:lang w:val="es-MX"/>
        </w:rPr>
        <w:t>ernazza</w:t>
      </w:r>
      <w:r>
        <w:rPr>
          <w:rFonts w:ascii="Arial" w:hAnsi="Arial" w:cs="Arial"/>
          <w:lang w:val="es-MX"/>
        </w:rPr>
        <w:t xml:space="preserve"> </w:t>
      </w:r>
      <w:r w:rsidR="008D06A4">
        <w:rPr>
          <w:rFonts w:ascii="Arial" w:hAnsi="Arial" w:cs="Arial"/>
          <w:lang w:val="es-MX"/>
        </w:rPr>
        <w:t>y</w:t>
      </w:r>
      <w:r>
        <w:rPr>
          <w:rFonts w:ascii="Arial" w:hAnsi="Arial" w:cs="Arial"/>
          <w:lang w:val="es-MX"/>
        </w:rPr>
        <w:t xml:space="preserve"> A</w:t>
      </w:r>
      <w:r w:rsidR="008D06A4">
        <w:rPr>
          <w:rFonts w:ascii="Arial" w:hAnsi="Arial" w:cs="Arial"/>
          <w:lang w:val="es-MX"/>
        </w:rPr>
        <w:t>sociados</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w:t>
      </w:r>
      <w:r w:rsidR="008D06A4">
        <w:rPr>
          <w:rFonts w:ascii="Arial" w:hAnsi="Arial" w:cs="Arial"/>
          <w:b/>
          <w:lang w:val="es-MX"/>
        </w:rPr>
        <w:t>iv</w:t>
      </w:r>
      <w:r w:rsidRPr="00BA6900">
        <w:rPr>
          <w:rFonts w:ascii="Arial" w:hAnsi="Arial" w:cs="Arial"/>
          <w:b/>
          <w:lang w:val="es-MX"/>
        </w:rPr>
        <w:t>)</w:t>
      </w:r>
      <w:r>
        <w:rPr>
          <w:rFonts w:ascii="Arial" w:hAnsi="Arial" w:cs="Arial"/>
          <w:lang w:val="es-MX"/>
        </w:rPr>
        <w:t xml:space="preserve"> L</w:t>
      </w:r>
      <w:r w:rsidR="008D06A4">
        <w:rPr>
          <w:rFonts w:ascii="Arial" w:hAnsi="Arial" w:cs="Arial"/>
          <w:lang w:val="es-MX"/>
        </w:rPr>
        <w:t>arsen</w:t>
      </w:r>
      <w:r>
        <w:rPr>
          <w:rFonts w:ascii="Arial" w:hAnsi="Arial" w:cs="Arial"/>
          <w:lang w:val="es-MX"/>
        </w:rPr>
        <w:t>, L</w:t>
      </w:r>
      <w:r w:rsidR="008D06A4">
        <w:rPr>
          <w:rFonts w:ascii="Arial" w:hAnsi="Arial" w:cs="Arial"/>
          <w:lang w:val="es-MX"/>
        </w:rPr>
        <w:t>audrup</w:t>
      </w:r>
      <w:r>
        <w:rPr>
          <w:rFonts w:ascii="Arial" w:hAnsi="Arial" w:cs="Arial"/>
          <w:lang w:val="es-MX"/>
        </w:rPr>
        <w:t xml:space="preserve"> </w:t>
      </w:r>
      <w:r w:rsidR="008D06A4">
        <w:rPr>
          <w:rFonts w:ascii="Arial" w:hAnsi="Arial" w:cs="Arial"/>
          <w:lang w:val="es-MX"/>
        </w:rPr>
        <w:t>y</w:t>
      </w:r>
      <w:r>
        <w:rPr>
          <w:rFonts w:ascii="Arial" w:hAnsi="Arial" w:cs="Arial"/>
          <w:lang w:val="es-MX"/>
        </w:rPr>
        <w:t xml:space="preserve"> L</w:t>
      </w:r>
      <w:r w:rsidR="008D06A4">
        <w:rPr>
          <w:rFonts w:ascii="Arial" w:hAnsi="Arial" w:cs="Arial"/>
          <w:lang w:val="es-MX"/>
        </w:rPr>
        <w:t>erby</w:t>
      </w:r>
      <w:r>
        <w:rPr>
          <w:rFonts w:ascii="Arial" w:hAnsi="Arial" w:cs="Arial"/>
          <w:lang w:val="es-MX"/>
        </w:rPr>
        <w:t xml:space="preserve"> L</w:t>
      </w:r>
      <w:r w:rsidR="008D06A4">
        <w:rPr>
          <w:rFonts w:ascii="Arial" w:hAnsi="Arial" w:cs="Arial"/>
          <w:lang w:val="es-MX"/>
        </w:rPr>
        <w:t>tda</w:t>
      </w:r>
      <w:r w:rsidR="00BA6900">
        <w:rPr>
          <w:rFonts w:ascii="Arial" w:hAnsi="Arial" w:cs="Arial"/>
          <w:lang w:val="es-MX"/>
        </w:rPr>
        <w:t>.</w:t>
      </w:r>
      <w:r>
        <w:rPr>
          <w:rFonts w:ascii="Arial" w:hAnsi="Arial" w:cs="Arial"/>
          <w:lang w:val="es-MX"/>
        </w:rPr>
        <w:t xml:space="preserve"> – IPG M</w:t>
      </w:r>
      <w:r w:rsidR="008D06A4">
        <w:rPr>
          <w:rFonts w:ascii="Arial" w:hAnsi="Arial" w:cs="Arial"/>
          <w:lang w:val="es-MX"/>
        </w:rPr>
        <w:t>edia</w:t>
      </w:r>
      <w:r>
        <w:rPr>
          <w:rFonts w:ascii="Arial" w:hAnsi="Arial" w:cs="Arial"/>
          <w:lang w:val="es-MX"/>
        </w:rPr>
        <w:t xml:space="preserve"> B</w:t>
      </w:r>
      <w:r w:rsidR="008D06A4">
        <w:rPr>
          <w:rFonts w:ascii="Arial" w:hAnsi="Arial" w:cs="Arial"/>
          <w:lang w:val="es-MX"/>
        </w:rPr>
        <w:t>rands</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(Intención de Consorcio;  </w:t>
      </w:r>
      <w:r w:rsidR="008D06A4">
        <w:rPr>
          <w:rFonts w:ascii="Arial" w:hAnsi="Arial" w:cs="Arial"/>
          <w:b/>
          <w:lang w:val="es-MX"/>
        </w:rPr>
        <w:t>v</w:t>
      </w:r>
      <w:r w:rsidRPr="00BA6900">
        <w:rPr>
          <w:rFonts w:ascii="Arial" w:hAnsi="Arial" w:cs="Arial"/>
          <w:b/>
          <w:lang w:val="es-MX"/>
        </w:rPr>
        <w:t xml:space="preserve">) </w:t>
      </w:r>
      <w:r>
        <w:rPr>
          <w:rFonts w:ascii="Arial" w:hAnsi="Arial" w:cs="Arial"/>
          <w:lang w:val="es-MX"/>
        </w:rPr>
        <w:t>DDB U</w:t>
      </w:r>
      <w:r w:rsidR="008D06A4">
        <w:rPr>
          <w:rFonts w:ascii="Arial" w:hAnsi="Arial" w:cs="Arial"/>
          <w:lang w:val="es-MX"/>
        </w:rPr>
        <w:t>ruguay</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y R</w:t>
      </w:r>
      <w:r w:rsidR="008D06A4">
        <w:rPr>
          <w:rFonts w:ascii="Arial" w:hAnsi="Arial" w:cs="Arial"/>
          <w:lang w:val="es-MX"/>
        </w:rPr>
        <w:t xml:space="preserve">, y </w:t>
      </w:r>
      <w:r w:rsidR="008D06A4">
        <w:rPr>
          <w:rFonts w:ascii="Arial" w:hAnsi="Arial" w:cs="Arial"/>
          <w:b/>
          <w:lang w:val="es-MX"/>
        </w:rPr>
        <w:t>vi</w:t>
      </w:r>
      <w:r w:rsidRPr="00BA6900">
        <w:rPr>
          <w:rFonts w:ascii="Arial" w:hAnsi="Arial" w:cs="Arial"/>
          <w:b/>
          <w:lang w:val="es-MX"/>
        </w:rPr>
        <w:t>I)</w:t>
      </w:r>
      <w:r>
        <w:rPr>
          <w:rFonts w:ascii="Arial" w:hAnsi="Arial" w:cs="Arial"/>
          <w:lang w:val="es-MX"/>
        </w:rPr>
        <w:t xml:space="preserve"> Rubicam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Renier S</w:t>
      </w:r>
      <w:r w:rsidR="00BA6900">
        <w:rPr>
          <w:rFonts w:ascii="Arial" w:hAnsi="Arial" w:cs="Arial"/>
          <w:lang w:val="es-MX"/>
        </w:rPr>
        <w:t>.</w:t>
      </w:r>
      <w:r>
        <w:rPr>
          <w:rFonts w:ascii="Arial" w:hAnsi="Arial" w:cs="Arial"/>
          <w:lang w:val="es-MX"/>
        </w:rPr>
        <w:t>A</w:t>
      </w:r>
      <w:r w:rsidR="00BA6900">
        <w:rPr>
          <w:rFonts w:ascii="Arial" w:hAnsi="Arial" w:cs="Arial"/>
          <w:lang w:val="es-MX"/>
        </w:rPr>
        <w:t>.;</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2)</w:t>
      </w:r>
      <w:r>
        <w:rPr>
          <w:rFonts w:ascii="Arial" w:hAnsi="Arial" w:cs="Arial"/>
          <w:lang w:val="es-MX"/>
        </w:rPr>
        <w:t xml:space="preserve"> que con fecha 22.07.14, la Comisión Asesora de Adjudicaciones, informó que todas las agencias que se presentaron superaron el mínimo necesario para la preselección</w:t>
      </w:r>
      <w:r w:rsidR="00BA6900">
        <w:rPr>
          <w:rFonts w:ascii="Arial" w:hAnsi="Arial" w:cs="Arial"/>
          <w:lang w:val="es-MX"/>
        </w:rPr>
        <w:t xml:space="preserve"> </w:t>
      </w:r>
      <w:r>
        <w:rPr>
          <w:rFonts w:ascii="Arial" w:hAnsi="Arial" w:cs="Arial"/>
          <w:lang w:val="es-MX"/>
        </w:rPr>
        <w:t>(antecedentes</w:t>
      </w:r>
      <w:r w:rsidR="008D06A4">
        <w:rPr>
          <w:rFonts w:ascii="Arial" w:hAnsi="Arial" w:cs="Arial"/>
          <w:lang w:val="es-MX"/>
        </w:rPr>
        <w:t>,</w:t>
      </w:r>
      <w:r>
        <w:rPr>
          <w:rFonts w:ascii="Arial" w:hAnsi="Arial" w:cs="Arial"/>
          <w:lang w:val="es-MX"/>
        </w:rPr>
        <w:t xml:space="preserve"> propuesta técnica, etc</w:t>
      </w:r>
      <w:r w:rsidR="00BA6900">
        <w:rPr>
          <w:rFonts w:ascii="Arial" w:hAnsi="Arial" w:cs="Arial"/>
          <w:lang w:val="es-MX"/>
        </w:rPr>
        <w:t>.</w:t>
      </w:r>
      <w:r>
        <w:rPr>
          <w:rFonts w:ascii="Arial" w:hAnsi="Arial" w:cs="Arial"/>
          <w:lang w:val="es-MX"/>
        </w:rPr>
        <w:t>)</w:t>
      </w:r>
      <w:r w:rsidR="00BA6900">
        <w:rPr>
          <w:rFonts w:ascii="Arial" w:hAnsi="Arial" w:cs="Arial"/>
          <w:lang w:val="es-MX"/>
        </w:rPr>
        <w:t xml:space="preserve"> </w:t>
      </w:r>
      <w:r>
        <w:rPr>
          <w:rFonts w:ascii="Arial" w:hAnsi="Arial" w:cs="Arial"/>
          <w:lang w:val="es-MX"/>
        </w:rPr>
        <w:t>estableciéndose un orden de prelación, quedando en los dos primeros lugares Y. and Rubicam Renier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y  Chilon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3)</w:t>
      </w:r>
      <w:r>
        <w:rPr>
          <w:rFonts w:ascii="Arial" w:hAnsi="Arial" w:cs="Arial"/>
          <w:lang w:val="es-MX"/>
        </w:rPr>
        <w:t xml:space="preserve"> que con fecha 09.09.14, se celebró el acto de apertura de ofertas económicas;</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4)</w:t>
      </w:r>
      <w:r>
        <w:rPr>
          <w:rFonts w:ascii="Arial" w:hAnsi="Arial" w:cs="Arial"/>
          <w:lang w:val="es-MX"/>
        </w:rPr>
        <w:t xml:space="preserve"> que con fecha 23.09.14, se invitó a Y</w:t>
      </w:r>
      <w:r w:rsidR="008D06A4">
        <w:rPr>
          <w:rFonts w:ascii="Arial" w:hAnsi="Arial" w:cs="Arial"/>
          <w:lang w:val="es-MX"/>
        </w:rPr>
        <w:t>oung</w:t>
      </w:r>
      <w:r>
        <w:rPr>
          <w:rFonts w:ascii="Arial" w:hAnsi="Arial" w:cs="Arial"/>
          <w:lang w:val="es-MX"/>
        </w:rPr>
        <w:t>&amp; R</w:t>
      </w:r>
      <w:r w:rsidR="008D06A4">
        <w:rPr>
          <w:rFonts w:ascii="Arial" w:hAnsi="Arial" w:cs="Arial"/>
          <w:lang w:val="es-MX"/>
        </w:rPr>
        <w:t>ubicam</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 R</w:t>
      </w:r>
      <w:r w:rsidR="008D06A4">
        <w:rPr>
          <w:rFonts w:ascii="Arial" w:hAnsi="Arial" w:cs="Arial"/>
          <w:lang w:val="es-MX"/>
        </w:rPr>
        <w:t>enier</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que obtuvo el mejor puntaje final, a mejorar su oferta, </w:t>
      </w:r>
      <w:r w:rsidR="00BA6900">
        <w:rPr>
          <w:rFonts w:ascii="Arial" w:hAnsi="Arial" w:cs="Arial"/>
          <w:lang w:val="es-MX"/>
        </w:rPr>
        <w:t>conforme con lo previsto en el A</w:t>
      </w:r>
      <w:r>
        <w:rPr>
          <w:rFonts w:ascii="Arial" w:hAnsi="Arial" w:cs="Arial"/>
          <w:lang w:val="es-MX"/>
        </w:rPr>
        <w:t>rticulo 11 del Pliego de Condiciones Particulares;</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lastRenderedPageBreak/>
        <w:t>5)</w:t>
      </w:r>
      <w:r>
        <w:rPr>
          <w:rFonts w:ascii="Arial" w:hAnsi="Arial" w:cs="Arial"/>
          <w:lang w:val="es-MX"/>
        </w:rPr>
        <w:t xml:space="preserve"> que con fecha 25.09.14, la referida </w:t>
      </w:r>
      <w:r w:rsidR="0010480F">
        <w:rPr>
          <w:rFonts w:ascii="Arial" w:hAnsi="Arial" w:cs="Arial"/>
          <w:lang w:val="es-MX"/>
        </w:rPr>
        <w:t>F</w:t>
      </w:r>
      <w:r>
        <w:rPr>
          <w:rFonts w:ascii="Arial" w:hAnsi="Arial" w:cs="Arial"/>
          <w:lang w:val="es-MX"/>
        </w:rPr>
        <w:t>irma  present</w:t>
      </w:r>
      <w:r w:rsidR="0010480F">
        <w:rPr>
          <w:rFonts w:ascii="Arial" w:hAnsi="Arial" w:cs="Arial"/>
          <w:lang w:val="es-MX"/>
        </w:rPr>
        <w:t>ó</w:t>
      </w:r>
      <w:r>
        <w:rPr>
          <w:rFonts w:ascii="Arial" w:hAnsi="Arial" w:cs="Arial"/>
          <w:lang w:val="es-MX"/>
        </w:rPr>
        <w:t xml:space="preserve"> nueva propuesta;</w:t>
      </w:r>
    </w:p>
    <w:p w:rsidR="00BA6900" w:rsidRDefault="0012062B" w:rsidP="00BA6900">
      <w:pPr>
        <w:spacing w:line="360" w:lineRule="auto"/>
        <w:ind w:firstLine="2835"/>
        <w:jc w:val="both"/>
        <w:rPr>
          <w:rFonts w:ascii="Arial" w:hAnsi="Arial" w:cs="Arial"/>
        </w:rPr>
      </w:pPr>
      <w:r>
        <w:rPr>
          <w:rFonts w:ascii="Arial" w:hAnsi="Arial" w:cs="Arial"/>
          <w:b/>
          <w:bCs/>
          <w:lang w:val="es-MX"/>
        </w:rPr>
        <w:t>6)</w:t>
      </w:r>
      <w:r>
        <w:rPr>
          <w:rFonts w:ascii="Arial" w:hAnsi="Arial" w:cs="Arial"/>
          <w:lang w:val="es-MX"/>
        </w:rPr>
        <w:t xml:space="preserve"> que con fecha </w:t>
      </w:r>
      <w:r>
        <w:rPr>
          <w:rFonts w:ascii="Arial" w:hAnsi="Arial" w:cs="Arial"/>
        </w:rPr>
        <w:t xml:space="preserve">03.10.14, </w:t>
      </w:r>
      <w:r>
        <w:rPr>
          <w:rFonts w:ascii="Arial" w:hAnsi="Arial" w:cs="Arial"/>
          <w:lang w:val="es-MX"/>
        </w:rPr>
        <w:t>la Com</w:t>
      </w:r>
      <w:r w:rsidR="00BA6900">
        <w:rPr>
          <w:rFonts w:ascii="Arial" w:hAnsi="Arial" w:cs="Arial"/>
          <w:lang w:val="es-MX"/>
        </w:rPr>
        <w:t>isión Asesora de Adjudicaciones</w:t>
      </w:r>
      <w:r>
        <w:rPr>
          <w:rFonts w:ascii="Arial" w:hAnsi="Arial" w:cs="Arial"/>
          <w:lang w:val="es-MX"/>
        </w:rPr>
        <w:t>,</w:t>
      </w:r>
      <w:r w:rsidR="00BA6900">
        <w:rPr>
          <w:rFonts w:ascii="Arial" w:hAnsi="Arial" w:cs="Arial"/>
          <w:lang w:val="es-MX"/>
        </w:rPr>
        <w:t xml:space="preserve"> </w:t>
      </w:r>
      <w:r>
        <w:rPr>
          <w:rFonts w:ascii="Arial" w:hAnsi="Arial" w:cs="Arial"/>
          <w:lang w:val="es-MX"/>
        </w:rPr>
        <w:t>en mérito a la evaluación y los puntajes obtenidos por las distintas agencias oferen</w:t>
      </w:r>
      <w:r w:rsidR="0010480F">
        <w:rPr>
          <w:rFonts w:ascii="Arial" w:hAnsi="Arial" w:cs="Arial"/>
          <w:lang w:val="es-MX"/>
        </w:rPr>
        <w:t>tes, sugirió adjudicar la misma</w:t>
      </w:r>
      <w:r>
        <w:rPr>
          <w:rFonts w:ascii="Arial" w:hAnsi="Arial" w:cs="Arial"/>
          <w:lang w:val="es-MX"/>
        </w:rPr>
        <w:t xml:space="preserve"> a Y</w:t>
      </w:r>
      <w:r w:rsidR="0010480F">
        <w:rPr>
          <w:rFonts w:ascii="Arial" w:hAnsi="Arial" w:cs="Arial"/>
          <w:lang w:val="es-MX"/>
        </w:rPr>
        <w:t>oung&amp;</w:t>
      </w:r>
      <w:r>
        <w:rPr>
          <w:rFonts w:ascii="Arial" w:hAnsi="Arial" w:cs="Arial"/>
          <w:lang w:val="es-MX"/>
        </w:rPr>
        <w:t>R</w:t>
      </w:r>
      <w:r w:rsidR="0010480F">
        <w:rPr>
          <w:rFonts w:ascii="Arial" w:hAnsi="Arial" w:cs="Arial"/>
          <w:lang w:val="es-MX"/>
        </w:rPr>
        <w:t>ubicam</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 R</w:t>
      </w:r>
      <w:r w:rsidR="0010480F">
        <w:rPr>
          <w:rFonts w:ascii="Arial" w:hAnsi="Arial" w:cs="Arial"/>
          <w:lang w:val="es-MX"/>
        </w:rPr>
        <w:t>enier</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w:t>
      </w:r>
      <w:r w:rsidR="0010480F">
        <w:rPr>
          <w:rFonts w:ascii="Arial" w:hAnsi="Arial" w:cs="Arial"/>
          <w:lang w:val="es-MX"/>
        </w:rPr>
        <w:t>I</w:t>
      </w:r>
      <w:r>
        <w:rPr>
          <w:rFonts w:ascii="Arial" w:hAnsi="Arial" w:cs="Arial"/>
          <w:lang w:val="es-MX"/>
        </w:rPr>
        <w:t>ntención Consorcio)</w:t>
      </w:r>
      <w:r>
        <w:rPr>
          <w:rFonts w:ascii="Arial" w:hAnsi="Arial" w:cs="Arial"/>
        </w:rPr>
        <w:t>;</w:t>
      </w:r>
    </w:p>
    <w:p w:rsidR="00BA6900" w:rsidRDefault="0012062B" w:rsidP="00BA6900">
      <w:pPr>
        <w:spacing w:line="360" w:lineRule="auto"/>
        <w:ind w:firstLine="2835"/>
        <w:jc w:val="both"/>
        <w:rPr>
          <w:rFonts w:ascii="Arial" w:hAnsi="Arial" w:cs="Arial"/>
        </w:rPr>
      </w:pPr>
      <w:r>
        <w:rPr>
          <w:rFonts w:ascii="Arial" w:hAnsi="Arial" w:cs="Arial"/>
          <w:b/>
          <w:bCs/>
        </w:rPr>
        <w:t>7)</w:t>
      </w:r>
      <w:r w:rsidR="00BA6900">
        <w:rPr>
          <w:rFonts w:ascii="Arial" w:hAnsi="Arial" w:cs="Arial"/>
        </w:rPr>
        <w:t xml:space="preserve"> que conforme con el A</w:t>
      </w:r>
      <w:r>
        <w:rPr>
          <w:rFonts w:ascii="Arial" w:hAnsi="Arial" w:cs="Arial"/>
        </w:rPr>
        <w:t>rtículo 67 del TOCAF, la Administración dio vista del expediente a los oferentes;</w:t>
      </w:r>
    </w:p>
    <w:p w:rsidR="00BA6900" w:rsidRDefault="0012062B" w:rsidP="00BA6900">
      <w:pPr>
        <w:spacing w:line="360" w:lineRule="auto"/>
        <w:ind w:firstLine="2835"/>
        <w:jc w:val="both"/>
        <w:rPr>
          <w:rFonts w:ascii="Arial" w:hAnsi="Arial" w:cs="Arial"/>
          <w:lang w:val="es-MX"/>
        </w:rPr>
      </w:pPr>
      <w:r>
        <w:rPr>
          <w:rFonts w:ascii="Arial" w:hAnsi="Arial" w:cs="Arial"/>
          <w:b/>
          <w:bCs/>
        </w:rPr>
        <w:t xml:space="preserve">8) </w:t>
      </w:r>
      <w:r>
        <w:rPr>
          <w:rFonts w:ascii="Arial" w:hAnsi="Arial" w:cs="Arial"/>
        </w:rPr>
        <w:t>que con f</w:t>
      </w:r>
      <w:r>
        <w:rPr>
          <w:rFonts w:ascii="Arial" w:hAnsi="Arial" w:cs="Arial"/>
          <w:lang w:val="es-MX"/>
        </w:rPr>
        <w:t>echa 16.10.14, CHILON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pres</w:t>
      </w:r>
      <w:r w:rsidR="00BA6900">
        <w:rPr>
          <w:rFonts w:ascii="Arial" w:hAnsi="Arial" w:cs="Arial"/>
          <w:lang w:val="es-MX"/>
        </w:rPr>
        <w:t>entó</w:t>
      </w:r>
      <w:r>
        <w:rPr>
          <w:rFonts w:ascii="Arial" w:hAnsi="Arial" w:cs="Arial"/>
          <w:lang w:val="es-MX"/>
        </w:rPr>
        <w:t xml:space="preserve"> escrito, señalando que si bi</w:t>
      </w:r>
      <w:r w:rsidR="00BA6900">
        <w:rPr>
          <w:rFonts w:ascii="Arial" w:hAnsi="Arial" w:cs="Arial"/>
          <w:lang w:val="es-MX"/>
        </w:rPr>
        <w:t>en la Administración invoca el A</w:t>
      </w:r>
      <w:r>
        <w:rPr>
          <w:rFonts w:ascii="Arial" w:hAnsi="Arial" w:cs="Arial"/>
          <w:lang w:val="es-MX"/>
        </w:rPr>
        <w:t>rt</w:t>
      </w:r>
      <w:r w:rsidR="00BA6900">
        <w:rPr>
          <w:rFonts w:ascii="Arial" w:hAnsi="Arial" w:cs="Arial"/>
          <w:lang w:val="es-MX"/>
        </w:rPr>
        <w:t>ículo</w:t>
      </w:r>
      <w:r>
        <w:rPr>
          <w:rFonts w:ascii="Arial" w:hAnsi="Arial" w:cs="Arial"/>
          <w:lang w:val="es-MX"/>
        </w:rPr>
        <w:t xml:space="preserve"> 11 del Pliego</w:t>
      </w:r>
      <w:r w:rsidR="0010480F">
        <w:rPr>
          <w:rFonts w:ascii="Arial" w:hAnsi="Arial" w:cs="Arial"/>
          <w:lang w:val="es-MX"/>
        </w:rPr>
        <w:t>,</w:t>
      </w:r>
      <w:r>
        <w:rPr>
          <w:rFonts w:ascii="Arial" w:hAnsi="Arial" w:cs="Arial"/>
          <w:lang w:val="es-MX"/>
        </w:rPr>
        <w:t xml:space="preserve"> no qued</w:t>
      </w:r>
      <w:r w:rsidR="0010480F">
        <w:rPr>
          <w:rFonts w:ascii="Arial" w:hAnsi="Arial" w:cs="Arial"/>
          <w:lang w:val="es-MX"/>
        </w:rPr>
        <w:t>ó</w:t>
      </w:r>
      <w:r>
        <w:rPr>
          <w:rFonts w:ascii="Arial" w:hAnsi="Arial" w:cs="Arial"/>
          <w:lang w:val="es-MX"/>
        </w:rPr>
        <w:t xml:space="preserve"> claro si se trata de una mejora de ofertas o negociaciones reservadas, solicitó su participación en la mejora de ofertas, así como la revisión de los puntajes establecidos;</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 xml:space="preserve">9) </w:t>
      </w:r>
      <w:r>
        <w:rPr>
          <w:rFonts w:ascii="Arial" w:hAnsi="Arial" w:cs="Arial"/>
          <w:lang w:val="es-MX"/>
        </w:rPr>
        <w:t xml:space="preserve">que con fecha 05.11.14, la Comisión Asesora de Adjudicaciones  informa que, culminada la etapa 1, se puso el expediente de manifiesto y no habiéndose efectuado observación de tipo alguno por parte de los proponentes, la CAA elevó la nómina de oferentes precalificados, la que se confeccionó acorde con el puntaje otorgado en dicha instancia. El Directorio aprobó la citada nómina y se continuó con el trámite pertinente, dando inicio la CAA a la Etapa 2, donde fue analizada la oferta económica, por lo tanto, las observaciones formuladas por la </w:t>
      </w:r>
      <w:r w:rsidR="0010480F">
        <w:rPr>
          <w:rFonts w:ascii="Arial" w:hAnsi="Arial" w:cs="Arial"/>
          <w:lang w:val="es-MX"/>
        </w:rPr>
        <w:t>F</w:t>
      </w:r>
      <w:r>
        <w:rPr>
          <w:rFonts w:ascii="Arial" w:hAnsi="Arial" w:cs="Arial"/>
          <w:lang w:val="es-MX"/>
        </w:rPr>
        <w:t>irma CHILON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referente a la </w:t>
      </w:r>
      <w:r w:rsidR="0010480F">
        <w:rPr>
          <w:rFonts w:ascii="Arial" w:hAnsi="Arial" w:cs="Arial"/>
          <w:lang w:val="es-MX"/>
        </w:rPr>
        <w:t>E</w:t>
      </w:r>
      <w:r>
        <w:rPr>
          <w:rFonts w:ascii="Arial" w:hAnsi="Arial" w:cs="Arial"/>
          <w:lang w:val="es-MX"/>
        </w:rPr>
        <w:t xml:space="preserve">tapa 1, resultan extemporáneas. En relación con las observaciones de la </w:t>
      </w:r>
      <w:r w:rsidR="0010480F">
        <w:rPr>
          <w:rFonts w:ascii="Arial" w:hAnsi="Arial" w:cs="Arial"/>
          <w:lang w:val="es-MX"/>
        </w:rPr>
        <w:t>E</w:t>
      </w:r>
      <w:r>
        <w:rPr>
          <w:rFonts w:ascii="Arial" w:hAnsi="Arial" w:cs="Arial"/>
          <w:lang w:val="es-MX"/>
        </w:rPr>
        <w:t>tapa 2 (oferta económica), las mismas fueron planteadas dentro del término de la puesta de manifiesto correspondiente. La CAA analizó las ofertas económicas de las empresas precalificadas, obteniendo CHILON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24,21 puntos, siendo segunda en puntaje en lo que tiene que ver exclusivamente con la oferta económica. Acorde con lo dispuesto en el </w:t>
      </w:r>
      <w:r w:rsidR="0010480F">
        <w:rPr>
          <w:rFonts w:ascii="Arial" w:hAnsi="Arial" w:cs="Arial"/>
          <w:lang w:val="es-MX"/>
        </w:rPr>
        <w:t>A</w:t>
      </w:r>
      <w:r>
        <w:rPr>
          <w:rFonts w:ascii="Arial" w:hAnsi="Arial" w:cs="Arial"/>
          <w:lang w:val="es-MX"/>
        </w:rPr>
        <w:t xml:space="preserve">rtículo 12 sobre Adjudicación, la misma se realizará al oferente que obtenga el mayor puntaje que resulte de la </w:t>
      </w:r>
      <w:r>
        <w:rPr>
          <w:rFonts w:ascii="Arial" w:hAnsi="Arial" w:cs="Arial"/>
          <w:lang w:val="es-MX"/>
        </w:rPr>
        <w:lastRenderedPageBreak/>
        <w:t>sumatoria de los puntajes obtenidos en la</w:t>
      </w:r>
      <w:r w:rsidR="00453344">
        <w:rPr>
          <w:rFonts w:ascii="Arial" w:hAnsi="Arial" w:cs="Arial"/>
          <w:lang w:val="es-MX"/>
        </w:rPr>
        <w:t>s</w:t>
      </w:r>
      <w:r>
        <w:rPr>
          <w:rFonts w:ascii="Arial" w:hAnsi="Arial" w:cs="Arial"/>
          <w:lang w:val="es-MX"/>
        </w:rPr>
        <w:t xml:space="preserve"> Etapa</w:t>
      </w:r>
      <w:r w:rsidR="00453344">
        <w:rPr>
          <w:rFonts w:ascii="Arial" w:hAnsi="Arial" w:cs="Arial"/>
          <w:lang w:val="es-MX"/>
        </w:rPr>
        <w:t>s</w:t>
      </w:r>
      <w:r>
        <w:rPr>
          <w:rFonts w:ascii="Arial" w:hAnsi="Arial" w:cs="Arial"/>
          <w:lang w:val="es-MX"/>
        </w:rPr>
        <w:t xml:space="preserve"> 1 y 2. Por lo tanto, sumados los puntos obtenidos por las proponentes precalificadas, en la etapa 1 y 2, la que  obtuvo el mayor puntaje fue la </w:t>
      </w:r>
      <w:r w:rsidR="00453344">
        <w:rPr>
          <w:rFonts w:ascii="Arial" w:hAnsi="Arial" w:cs="Arial"/>
          <w:lang w:val="es-MX"/>
        </w:rPr>
        <w:t>F</w:t>
      </w:r>
      <w:r>
        <w:rPr>
          <w:rFonts w:ascii="Arial" w:hAnsi="Arial" w:cs="Arial"/>
          <w:lang w:val="es-MX"/>
        </w:rPr>
        <w:t>irma Y</w:t>
      </w:r>
      <w:r w:rsidR="00453344">
        <w:rPr>
          <w:rFonts w:ascii="Arial" w:hAnsi="Arial" w:cs="Arial"/>
          <w:lang w:val="es-MX"/>
        </w:rPr>
        <w:t>oung&amp;</w:t>
      </w:r>
      <w:r>
        <w:rPr>
          <w:rFonts w:ascii="Arial" w:hAnsi="Arial" w:cs="Arial"/>
          <w:lang w:val="es-MX"/>
        </w:rPr>
        <w:t>R</w:t>
      </w:r>
      <w:r w:rsidR="00453344">
        <w:rPr>
          <w:rFonts w:ascii="Arial" w:hAnsi="Arial" w:cs="Arial"/>
          <w:lang w:val="es-MX"/>
        </w:rPr>
        <w:t>ubicam</w:t>
      </w:r>
      <w:r>
        <w:rPr>
          <w:rFonts w:ascii="Arial" w:hAnsi="Arial" w:cs="Arial"/>
          <w:lang w:val="es-MX"/>
        </w:rPr>
        <w:t>. De acuerdo con el cuadro comparativo, no existen ofertas similares en el sentido que plantea el TOCAF ya que la distancia entre el puntaje total obtenido por la oferente mejor posicionada y la siguiente  es superior al 5%;</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10</w:t>
      </w:r>
      <w:r>
        <w:rPr>
          <w:rFonts w:ascii="Arial" w:hAnsi="Arial" w:cs="Arial"/>
          <w:b/>
          <w:bCs/>
        </w:rPr>
        <w:t xml:space="preserve">) </w:t>
      </w:r>
      <w:r>
        <w:rPr>
          <w:rFonts w:ascii="Arial" w:hAnsi="Arial" w:cs="Arial"/>
          <w:lang w:val="es-MX"/>
        </w:rPr>
        <w:t xml:space="preserve">que por Resolución Nº </w:t>
      </w:r>
      <w:r>
        <w:rPr>
          <w:rFonts w:ascii="Arial" w:hAnsi="Arial" w:cs="Arial"/>
        </w:rPr>
        <w:t>0918/2014 de fecha 26.11.14</w:t>
      </w:r>
      <w:r>
        <w:rPr>
          <w:rFonts w:ascii="Arial" w:hAnsi="Arial" w:cs="Arial"/>
          <w:lang w:val="es-MX"/>
        </w:rPr>
        <w:t>, el D</w:t>
      </w:r>
      <w:r w:rsidR="00BA6900">
        <w:rPr>
          <w:rFonts w:ascii="Arial" w:hAnsi="Arial" w:cs="Arial"/>
          <w:lang w:val="es-MX"/>
        </w:rPr>
        <w:t>irectorio dispuso adjudicar la L</w:t>
      </w:r>
      <w:r>
        <w:rPr>
          <w:rFonts w:ascii="Arial" w:hAnsi="Arial" w:cs="Arial"/>
          <w:lang w:val="es-MX"/>
        </w:rPr>
        <w:t xml:space="preserve">icitación referida, a la empresa </w:t>
      </w:r>
      <w:r w:rsidR="00453344">
        <w:rPr>
          <w:rFonts w:ascii="Arial" w:hAnsi="Arial" w:cs="Arial"/>
          <w:lang w:val="es-MX"/>
        </w:rPr>
        <w:t>Young&amp;Rubicam</w:t>
      </w:r>
      <w:r>
        <w:rPr>
          <w:rFonts w:ascii="Arial" w:hAnsi="Arial" w:cs="Arial"/>
          <w:lang w:val="es-MX"/>
        </w:rPr>
        <w:t xml:space="preserve"> S</w:t>
      </w:r>
      <w:r w:rsidR="00453344">
        <w:rPr>
          <w:rFonts w:ascii="Arial" w:hAnsi="Arial" w:cs="Arial"/>
          <w:lang w:val="es-MX"/>
        </w:rPr>
        <w:t>.</w:t>
      </w:r>
      <w:r>
        <w:rPr>
          <w:rFonts w:ascii="Arial" w:hAnsi="Arial" w:cs="Arial"/>
          <w:lang w:val="es-MX"/>
        </w:rPr>
        <w:t>A</w:t>
      </w:r>
      <w:r w:rsidR="00453344">
        <w:rPr>
          <w:rFonts w:ascii="Arial" w:hAnsi="Arial" w:cs="Arial"/>
          <w:lang w:val="es-MX"/>
        </w:rPr>
        <w:t>.</w:t>
      </w:r>
      <w:r>
        <w:rPr>
          <w:rFonts w:ascii="Arial" w:hAnsi="Arial" w:cs="Arial"/>
          <w:lang w:val="es-MX"/>
        </w:rPr>
        <w:t xml:space="preserve"> – R</w:t>
      </w:r>
      <w:r w:rsidR="00453344">
        <w:rPr>
          <w:rFonts w:ascii="Arial" w:hAnsi="Arial" w:cs="Arial"/>
          <w:lang w:val="es-MX"/>
        </w:rPr>
        <w:t>enier</w:t>
      </w:r>
      <w:r>
        <w:rPr>
          <w:rFonts w:ascii="Arial" w:hAnsi="Arial" w:cs="Arial"/>
          <w:lang w:val="es-MX"/>
        </w:rPr>
        <w:t xml:space="preserve"> S</w:t>
      </w:r>
      <w:r w:rsidR="00BA6900">
        <w:rPr>
          <w:rFonts w:ascii="Arial" w:hAnsi="Arial" w:cs="Arial"/>
          <w:lang w:val="es-MX"/>
        </w:rPr>
        <w:t>.</w:t>
      </w:r>
      <w:r>
        <w:rPr>
          <w:rFonts w:ascii="Arial" w:hAnsi="Arial" w:cs="Arial"/>
          <w:lang w:val="es-MX"/>
        </w:rPr>
        <w:t>A</w:t>
      </w:r>
      <w:r w:rsidR="00BA6900">
        <w:rPr>
          <w:rFonts w:ascii="Arial" w:hAnsi="Arial" w:cs="Arial"/>
          <w:lang w:val="es-MX"/>
        </w:rPr>
        <w:t>.</w:t>
      </w:r>
      <w:r>
        <w:rPr>
          <w:rFonts w:ascii="Arial" w:hAnsi="Arial" w:cs="Arial"/>
          <w:lang w:val="es-MX"/>
        </w:rPr>
        <w:t xml:space="preserve"> (Intención Consorcio);</w:t>
      </w:r>
    </w:p>
    <w:p w:rsidR="00BA6900" w:rsidRDefault="0012062B" w:rsidP="00BA6900">
      <w:pPr>
        <w:spacing w:line="360" w:lineRule="auto"/>
        <w:ind w:firstLine="2835"/>
        <w:jc w:val="both"/>
        <w:rPr>
          <w:rFonts w:ascii="Arial" w:hAnsi="Arial" w:cs="Arial"/>
          <w:lang w:val="es-MX"/>
        </w:rPr>
      </w:pPr>
      <w:r>
        <w:rPr>
          <w:rFonts w:ascii="Arial" w:hAnsi="Arial" w:cs="Arial"/>
          <w:b/>
          <w:bCs/>
          <w:lang w:val="es-MX"/>
        </w:rPr>
        <w:t>11)</w:t>
      </w:r>
      <w:r>
        <w:rPr>
          <w:rFonts w:ascii="Arial" w:hAnsi="Arial" w:cs="Arial"/>
          <w:lang w:val="es-MX"/>
        </w:rPr>
        <w:t xml:space="preserve"> que con fecha 18 de noviembre de 2014,</w:t>
      </w:r>
      <w:r w:rsidR="00BA6900">
        <w:rPr>
          <w:rFonts w:ascii="Arial" w:hAnsi="Arial" w:cs="Arial"/>
          <w:lang w:val="es-MX"/>
        </w:rPr>
        <w:t xml:space="preserve"> </w:t>
      </w:r>
      <w:r>
        <w:rPr>
          <w:rFonts w:ascii="Arial" w:hAnsi="Arial" w:cs="Arial"/>
          <w:lang w:val="es-MX"/>
        </w:rPr>
        <w:t>se informa que no habría disponibilidad presupuestal</w:t>
      </w:r>
      <w:r w:rsidR="00BA6900">
        <w:rPr>
          <w:rFonts w:ascii="Arial" w:hAnsi="Arial" w:cs="Arial"/>
          <w:lang w:val="es-MX"/>
        </w:rPr>
        <w:t xml:space="preserve"> para financiar el gasto en el E</w:t>
      </w:r>
      <w:r>
        <w:rPr>
          <w:rFonts w:ascii="Arial" w:hAnsi="Arial" w:cs="Arial"/>
          <w:lang w:val="es-MX"/>
        </w:rPr>
        <w:t>jercic</w:t>
      </w:r>
      <w:r w:rsidR="00BA6900">
        <w:rPr>
          <w:rFonts w:ascii="Arial" w:hAnsi="Arial" w:cs="Arial"/>
          <w:lang w:val="es-MX"/>
        </w:rPr>
        <w:t>io 2014 y sí la habría para el Ejercicio 2015;</w:t>
      </w:r>
    </w:p>
    <w:p w:rsidR="004A699A" w:rsidRDefault="0012062B" w:rsidP="004A699A">
      <w:pPr>
        <w:spacing w:line="360" w:lineRule="auto"/>
        <w:ind w:firstLine="851"/>
        <w:jc w:val="both"/>
        <w:rPr>
          <w:rFonts w:ascii="Arial" w:hAnsi="Arial" w:cs="Arial"/>
        </w:rPr>
      </w:pPr>
      <w:r>
        <w:rPr>
          <w:rFonts w:ascii="Arial" w:hAnsi="Arial" w:cs="Arial"/>
          <w:b/>
          <w:bCs/>
          <w:lang w:val="es-MX"/>
        </w:rPr>
        <w:t xml:space="preserve">CONSIDERANDO: 1) </w:t>
      </w:r>
      <w:r w:rsidR="00BA6900">
        <w:rPr>
          <w:rFonts w:ascii="Arial" w:hAnsi="Arial" w:cs="Arial"/>
        </w:rPr>
        <w:t>que el A</w:t>
      </w:r>
      <w:r>
        <w:rPr>
          <w:rFonts w:ascii="Arial" w:hAnsi="Arial" w:cs="Arial"/>
        </w:rPr>
        <w:t>rtículo 3 del Pliego de Condiciones Particulares, referido a  la pre</w:t>
      </w:r>
      <w:r w:rsidR="00453344">
        <w:rPr>
          <w:rFonts w:ascii="Arial" w:hAnsi="Arial" w:cs="Arial"/>
        </w:rPr>
        <w:t xml:space="preserve">sentación de las ofertas, que  </w:t>
      </w:r>
      <w:r>
        <w:rPr>
          <w:rFonts w:ascii="Arial" w:hAnsi="Arial" w:cs="Arial"/>
        </w:rPr>
        <w:t>establece que</w:t>
      </w:r>
      <w:r>
        <w:t xml:space="preserve"> </w:t>
      </w:r>
      <w:r w:rsidRPr="00BA6900">
        <w:rPr>
          <w:rFonts w:ascii="Arial" w:hAnsi="Arial" w:cs="Arial"/>
        </w:rPr>
        <w:t>la Administración</w:t>
      </w:r>
      <w:r>
        <w:rPr>
          <w:rFonts w:ascii="Arial" w:hAnsi="Arial" w:cs="Arial"/>
        </w:rPr>
        <w:t xml:space="preserve"> constatará en la apertura de ofertas que las empresas se encuentren en cumplimiento con la Dirección General Impositiva, Banco de Previsión Social y Seguro de Accidentes del Trabajo y Enfermedades Profesionales</w:t>
      </w:r>
      <w:r w:rsidR="00453344">
        <w:rPr>
          <w:rFonts w:ascii="Arial" w:hAnsi="Arial" w:cs="Arial"/>
        </w:rPr>
        <w:t>,</w:t>
      </w:r>
      <w:r>
        <w:rPr>
          <w:rFonts w:ascii="Arial" w:hAnsi="Arial" w:cs="Arial"/>
        </w:rPr>
        <w:t xml:space="preserve"> y que se acredite el certificado notarial de la representación de la empresa, con</w:t>
      </w:r>
      <w:r w:rsidR="00BA6900">
        <w:rPr>
          <w:rFonts w:ascii="Arial" w:hAnsi="Arial" w:cs="Arial"/>
        </w:rPr>
        <w:t>traviene  lo dispuesto por  el A</w:t>
      </w:r>
      <w:r>
        <w:rPr>
          <w:rFonts w:ascii="Arial" w:hAnsi="Arial" w:cs="Arial"/>
        </w:rPr>
        <w:t xml:space="preserve">rtículo 48 del TOCAF,  en cuanto </w:t>
      </w:r>
      <w:r w:rsidR="00453344">
        <w:rPr>
          <w:rFonts w:ascii="Arial" w:hAnsi="Arial" w:cs="Arial"/>
        </w:rPr>
        <w:t>la exigencia  de tales extremos</w:t>
      </w:r>
      <w:r>
        <w:rPr>
          <w:rFonts w:ascii="Arial" w:hAnsi="Arial" w:cs="Arial"/>
        </w:rPr>
        <w:t xml:space="preserve"> son</w:t>
      </w:r>
      <w:r w:rsidR="00453344">
        <w:rPr>
          <w:rFonts w:ascii="Arial" w:hAnsi="Arial" w:cs="Arial"/>
        </w:rPr>
        <w:t xml:space="preserve"> de cargo</w:t>
      </w:r>
      <w:r w:rsidR="004A699A">
        <w:rPr>
          <w:rFonts w:ascii="Arial" w:hAnsi="Arial" w:cs="Arial"/>
        </w:rPr>
        <w:t xml:space="preserve"> del  adjudicatario;</w:t>
      </w:r>
    </w:p>
    <w:p w:rsidR="004A699A" w:rsidRDefault="0012062B" w:rsidP="004A699A">
      <w:pPr>
        <w:spacing w:line="360" w:lineRule="auto"/>
        <w:ind w:firstLine="3119"/>
        <w:jc w:val="both"/>
        <w:rPr>
          <w:rFonts w:ascii="Arial" w:hAnsi="Arial" w:cs="Arial"/>
        </w:rPr>
      </w:pPr>
      <w:r>
        <w:rPr>
          <w:rFonts w:ascii="Arial" w:hAnsi="Arial" w:cs="Arial"/>
          <w:b/>
          <w:bCs/>
        </w:rPr>
        <w:t>2)</w:t>
      </w:r>
      <w:r>
        <w:rPr>
          <w:rFonts w:ascii="Arial" w:hAnsi="Arial" w:cs="Arial"/>
        </w:rPr>
        <w:t xml:space="preserve"> que asimismo no  existe crédito disponible para atender </w:t>
      </w:r>
      <w:r w:rsidR="004A699A">
        <w:rPr>
          <w:rFonts w:ascii="Arial" w:hAnsi="Arial" w:cs="Arial"/>
        </w:rPr>
        <w:t>el gasto por el presente E</w:t>
      </w:r>
      <w:r>
        <w:rPr>
          <w:rFonts w:ascii="Arial" w:hAnsi="Arial" w:cs="Arial"/>
        </w:rPr>
        <w:t>jercicio</w:t>
      </w:r>
      <w:r w:rsidR="00453344">
        <w:rPr>
          <w:rFonts w:ascii="Arial" w:hAnsi="Arial" w:cs="Arial"/>
        </w:rPr>
        <w:t xml:space="preserve">, </w:t>
      </w:r>
      <w:r>
        <w:rPr>
          <w:rFonts w:ascii="Arial" w:hAnsi="Arial" w:cs="Arial"/>
        </w:rPr>
        <w:t>contraviniéndos</w:t>
      </w:r>
      <w:r w:rsidR="004A699A">
        <w:rPr>
          <w:rFonts w:ascii="Arial" w:hAnsi="Arial" w:cs="Arial"/>
        </w:rPr>
        <w:t>e con ello lo dispuesto por el A</w:t>
      </w:r>
      <w:r>
        <w:rPr>
          <w:rFonts w:ascii="Arial" w:hAnsi="Arial" w:cs="Arial"/>
        </w:rPr>
        <w:t>rt</w:t>
      </w:r>
      <w:r w:rsidR="004A699A">
        <w:rPr>
          <w:rFonts w:ascii="Arial" w:hAnsi="Arial" w:cs="Arial"/>
        </w:rPr>
        <w:t>ículo</w:t>
      </w:r>
      <w:r w:rsidR="00453344">
        <w:rPr>
          <w:rFonts w:ascii="Arial" w:hAnsi="Arial" w:cs="Arial"/>
        </w:rPr>
        <w:t xml:space="preserve"> </w:t>
      </w:r>
      <w:r w:rsidR="004A699A">
        <w:rPr>
          <w:rFonts w:ascii="Arial" w:hAnsi="Arial" w:cs="Arial"/>
        </w:rPr>
        <w:t>15 del TOCAF;</w:t>
      </w:r>
    </w:p>
    <w:p w:rsidR="0012062B" w:rsidRDefault="0012062B" w:rsidP="004A699A">
      <w:pPr>
        <w:spacing w:line="360" w:lineRule="auto"/>
        <w:ind w:firstLine="3119"/>
        <w:jc w:val="both"/>
        <w:rPr>
          <w:rFonts w:ascii="Arial" w:hAnsi="Arial" w:cs="Arial"/>
        </w:rPr>
      </w:pPr>
      <w:r w:rsidRPr="004A699A">
        <w:rPr>
          <w:rFonts w:ascii="Arial" w:hAnsi="Arial" w:cs="Arial"/>
          <w:b/>
        </w:rPr>
        <w:t>3)</w:t>
      </w:r>
      <w:r>
        <w:rPr>
          <w:rFonts w:ascii="Arial" w:hAnsi="Arial" w:cs="Arial"/>
        </w:rPr>
        <w:t xml:space="preserve"> que respecto al escrito presentado por la </w:t>
      </w:r>
      <w:r w:rsidR="00453344">
        <w:rPr>
          <w:rFonts w:ascii="Arial" w:hAnsi="Arial" w:cs="Arial"/>
        </w:rPr>
        <w:t>F</w:t>
      </w:r>
      <w:r>
        <w:rPr>
          <w:rFonts w:ascii="Arial" w:hAnsi="Arial" w:cs="Arial"/>
        </w:rPr>
        <w:t>irma Chilon S</w:t>
      </w:r>
      <w:r w:rsidR="004A699A">
        <w:rPr>
          <w:rFonts w:ascii="Arial" w:hAnsi="Arial" w:cs="Arial"/>
        </w:rPr>
        <w:t>.</w:t>
      </w:r>
      <w:r>
        <w:rPr>
          <w:rFonts w:ascii="Arial" w:hAnsi="Arial" w:cs="Arial"/>
        </w:rPr>
        <w:t>A</w:t>
      </w:r>
      <w:r w:rsidR="004A699A">
        <w:rPr>
          <w:rFonts w:ascii="Arial" w:hAnsi="Arial" w:cs="Arial"/>
        </w:rPr>
        <w:t>.</w:t>
      </w:r>
      <w:r>
        <w:rPr>
          <w:rFonts w:ascii="Arial" w:hAnsi="Arial" w:cs="Arial"/>
        </w:rPr>
        <w:t xml:space="preserve">, surge de los cuadros comparativos que la diferencia con respecto a la </w:t>
      </w:r>
      <w:r w:rsidR="00453344">
        <w:rPr>
          <w:rFonts w:ascii="Arial" w:hAnsi="Arial" w:cs="Arial"/>
        </w:rPr>
        <w:t>F</w:t>
      </w:r>
      <w:r>
        <w:rPr>
          <w:rFonts w:ascii="Arial" w:hAnsi="Arial" w:cs="Arial"/>
        </w:rPr>
        <w:t>irma Y. and Rubicam Renier S</w:t>
      </w:r>
      <w:r w:rsidR="004A699A">
        <w:rPr>
          <w:rFonts w:ascii="Arial" w:hAnsi="Arial" w:cs="Arial"/>
        </w:rPr>
        <w:t>.</w:t>
      </w:r>
      <w:r>
        <w:rPr>
          <w:rFonts w:ascii="Arial" w:hAnsi="Arial" w:cs="Arial"/>
        </w:rPr>
        <w:t>A</w:t>
      </w:r>
      <w:r w:rsidR="004A699A">
        <w:rPr>
          <w:rFonts w:ascii="Arial" w:hAnsi="Arial" w:cs="Arial"/>
        </w:rPr>
        <w:t>.</w:t>
      </w:r>
      <w:r>
        <w:rPr>
          <w:rFonts w:ascii="Arial" w:hAnsi="Arial" w:cs="Arial"/>
        </w:rPr>
        <w:t>, es superior al 5%,</w:t>
      </w:r>
      <w:r w:rsidR="00453344">
        <w:rPr>
          <w:rFonts w:ascii="Arial" w:hAnsi="Arial" w:cs="Arial"/>
        </w:rPr>
        <w:t xml:space="preserve"> </w:t>
      </w:r>
      <w:r>
        <w:rPr>
          <w:rFonts w:ascii="Arial" w:hAnsi="Arial" w:cs="Arial"/>
        </w:rPr>
        <w:t>por lo que no se puede considerar una oferta con calif</w:t>
      </w:r>
      <w:r w:rsidR="004A699A">
        <w:rPr>
          <w:rFonts w:ascii="Arial" w:hAnsi="Arial" w:cs="Arial"/>
        </w:rPr>
        <w:t xml:space="preserve">icación similar, de acuerdo </w:t>
      </w:r>
      <w:r w:rsidR="00453344">
        <w:rPr>
          <w:rFonts w:ascii="Arial" w:hAnsi="Arial" w:cs="Arial"/>
        </w:rPr>
        <w:t>con e</w:t>
      </w:r>
      <w:r w:rsidR="004A699A">
        <w:rPr>
          <w:rFonts w:ascii="Arial" w:hAnsi="Arial" w:cs="Arial"/>
        </w:rPr>
        <w:t>l A</w:t>
      </w:r>
      <w:r>
        <w:rPr>
          <w:rFonts w:ascii="Arial" w:hAnsi="Arial" w:cs="Arial"/>
        </w:rPr>
        <w:t>rt</w:t>
      </w:r>
      <w:r w:rsidR="004A699A">
        <w:rPr>
          <w:rFonts w:ascii="Arial" w:hAnsi="Arial" w:cs="Arial"/>
        </w:rPr>
        <w:t xml:space="preserve">ículo  </w:t>
      </w:r>
      <w:r w:rsidR="004A699A">
        <w:rPr>
          <w:rFonts w:ascii="Arial" w:hAnsi="Arial" w:cs="Arial"/>
        </w:rPr>
        <w:lastRenderedPageBreak/>
        <w:t>66 del TOCAF</w:t>
      </w:r>
      <w:r w:rsidR="007A42F1">
        <w:rPr>
          <w:rFonts w:ascii="Arial" w:hAnsi="Arial" w:cs="Arial"/>
        </w:rPr>
        <w:t xml:space="preserve">, </w:t>
      </w:r>
      <w:r>
        <w:rPr>
          <w:rFonts w:ascii="Arial" w:hAnsi="Arial" w:cs="Arial"/>
        </w:rPr>
        <w:t>compartiéndose por ello la actuación de la Administración de no haberla invitado a mejorar su oferta;</w:t>
      </w:r>
    </w:p>
    <w:p w:rsidR="0012062B" w:rsidRDefault="0012062B" w:rsidP="004A699A">
      <w:pPr>
        <w:spacing w:line="360" w:lineRule="auto"/>
        <w:ind w:firstLine="851"/>
        <w:jc w:val="both"/>
        <w:rPr>
          <w:rFonts w:ascii="Arial" w:hAnsi="Arial" w:cs="Arial"/>
          <w:lang w:val="es-MX"/>
        </w:rPr>
      </w:pPr>
      <w:r>
        <w:rPr>
          <w:rFonts w:ascii="Arial" w:hAnsi="Arial" w:cs="Arial"/>
          <w:b/>
          <w:bCs/>
          <w:lang w:val="es-MX"/>
        </w:rPr>
        <w:t>ATENTO:</w:t>
      </w:r>
      <w:r>
        <w:rPr>
          <w:rFonts w:ascii="Arial" w:hAnsi="Arial" w:cs="Arial"/>
          <w:lang w:val="es-MX"/>
        </w:rPr>
        <w:t xml:space="preserve"> a lo expuesto preceden</w:t>
      </w:r>
      <w:r w:rsidR="004A699A">
        <w:rPr>
          <w:rFonts w:ascii="Arial" w:hAnsi="Arial" w:cs="Arial"/>
          <w:lang w:val="es-MX"/>
        </w:rPr>
        <w:t>temente y a lo dispuesto en el Artículo 211 L</w:t>
      </w:r>
      <w:r>
        <w:rPr>
          <w:rFonts w:ascii="Arial" w:hAnsi="Arial" w:cs="Arial"/>
          <w:lang w:val="es-MX"/>
        </w:rPr>
        <w:t>iteral B) de la Constitución de la República;</w:t>
      </w:r>
    </w:p>
    <w:p w:rsidR="0012062B" w:rsidRDefault="004A699A">
      <w:pPr>
        <w:spacing w:line="360" w:lineRule="auto"/>
        <w:jc w:val="center"/>
        <w:rPr>
          <w:rFonts w:ascii="Arial" w:hAnsi="Arial" w:cs="Arial"/>
          <w:b/>
          <w:bCs/>
          <w:highlight w:val="yellow"/>
          <w:lang w:val="es-MX"/>
        </w:rPr>
      </w:pPr>
      <w:r>
        <w:rPr>
          <w:rFonts w:ascii="Arial" w:hAnsi="Arial" w:cs="Arial"/>
          <w:b/>
          <w:bCs/>
          <w:lang w:val="es-MX"/>
        </w:rPr>
        <w:t>EL TRIBUNAL ACUERDA</w:t>
      </w:r>
    </w:p>
    <w:p w:rsidR="0012062B" w:rsidRDefault="0012062B">
      <w:pPr>
        <w:numPr>
          <w:ilvl w:val="0"/>
          <w:numId w:val="1"/>
        </w:numPr>
        <w:spacing w:line="360" w:lineRule="auto"/>
        <w:jc w:val="both"/>
        <w:rPr>
          <w:rFonts w:ascii="Arial" w:hAnsi="Arial" w:cs="Arial"/>
        </w:rPr>
      </w:pPr>
      <w:r>
        <w:rPr>
          <w:rFonts w:ascii="Arial" w:hAnsi="Arial" w:cs="Arial"/>
        </w:rPr>
        <w:t xml:space="preserve">Observar el gasto; </w:t>
      </w:r>
    </w:p>
    <w:p w:rsidR="0012062B" w:rsidRDefault="0012062B">
      <w:pPr>
        <w:numPr>
          <w:ilvl w:val="0"/>
          <w:numId w:val="1"/>
        </w:numPr>
        <w:spacing w:line="360" w:lineRule="auto"/>
        <w:jc w:val="both"/>
        <w:rPr>
          <w:rFonts w:ascii="Arial" w:hAnsi="Arial" w:cs="Arial"/>
        </w:rPr>
      </w:pPr>
      <w:r>
        <w:rPr>
          <w:rFonts w:ascii="Arial" w:hAnsi="Arial" w:cs="Arial"/>
        </w:rPr>
        <w:t>Comunicar al Contador Delegado; y</w:t>
      </w:r>
    </w:p>
    <w:p w:rsidR="004A699A" w:rsidRDefault="0012062B" w:rsidP="004A699A">
      <w:pPr>
        <w:numPr>
          <w:ilvl w:val="0"/>
          <w:numId w:val="1"/>
        </w:numPr>
        <w:rPr>
          <w:rFonts w:ascii="Arial" w:hAnsi="Arial" w:cs="Arial"/>
        </w:rPr>
      </w:pPr>
      <w:r>
        <w:rPr>
          <w:rFonts w:ascii="Arial" w:hAnsi="Arial" w:cs="Arial"/>
        </w:rPr>
        <w:t>Devolver las actuaciones.</w:t>
      </w:r>
    </w:p>
    <w:p w:rsidR="004A699A" w:rsidRDefault="004A699A" w:rsidP="004A699A">
      <w:pPr>
        <w:ind w:left="360"/>
        <w:rPr>
          <w:rFonts w:ascii="Arial" w:hAnsi="Arial" w:cs="Arial"/>
        </w:rPr>
      </w:pPr>
    </w:p>
    <w:p w:rsidR="004A699A" w:rsidRDefault="004A699A" w:rsidP="004A699A">
      <w:pPr>
        <w:ind w:left="360"/>
        <w:rPr>
          <w:rFonts w:ascii="Arial" w:hAnsi="Arial" w:cs="Arial"/>
        </w:rPr>
      </w:pPr>
    </w:p>
    <w:p w:rsidR="0012062B" w:rsidRDefault="004A699A" w:rsidP="004A699A">
      <w:pPr>
        <w:ind w:left="360" w:hanging="927"/>
      </w:pPr>
      <w:r>
        <w:rPr>
          <w:rFonts w:ascii="Arial" w:hAnsi="Arial" w:cs="Arial"/>
        </w:rPr>
        <w:t>dc</w:t>
      </w:r>
    </w:p>
    <w:sectPr w:rsidR="0012062B" w:rsidSect="00752A74">
      <w:footerReference w:type="default" r:id="rId8"/>
      <w:pgSz w:w="11907" w:h="16840" w:code="9"/>
      <w:pgMar w:top="3402" w:right="1701" w:bottom="1701" w:left="1701" w:header="720" w:footer="720" w:gutter="0"/>
      <w:paperSrc w:first="4"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62B" w:rsidRDefault="0012062B">
      <w:r>
        <w:separator/>
      </w:r>
    </w:p>
  </w:endnote>
  <w:endnote w:type="continuationSeparator" w:id="0">
    <w:p w:rsidR="0012062B" w:rsidRDefault="00120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699A" w:rsidRDefault="004A699A">
    <w:pPr>
      <w:pStyle w:val="Piedepgina"/>
      <w:jc w:val="center"/>
    </w:pPr>
    <w:r>
      <w:fldChar w:fldCharType="begin"/>
    </w:r>
    <w:r>
      <w:instrText>PAGE   \* MERGEFORMAT</w:instrText>
    </w:r>
    <w:r>
      <w:fldChar w:fldCharType="separate"/>
    </w:r>
    <w:r w:rsidR="00752A74">
      <w:rPr>
        <w:noProof/>
      </w:rPr>
      <w:t>1</w:t>
    </w:r>
    <w:r>
      <w:fldChar w:fldCharType="end"/>
    </w:r>
  </w:p>
  <w:p w:rsidR="0012062B" w:rsidRDefault="0012062B">
    <w:pPr>
      <w:pStyle w:val="Piedepgina"/>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62B" w:rsidRDefault="0012062B">
      <w:r>
        <w:separator/>
      </w:r>
    </w:p>
  </w:footnote>
  <w:footnote w:type="continuationSeparator" w:id="0">
    <w:p w:rsidR="0012062B" w:rsidRDefault="001206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557D10"/>
    <w:multiLevelType w:val="singleLevel"/>
    <w:tmpl w:val="AD701AA2"/>
    <w:lvl w:ilvl="0">
      <w:start w:val="1"/>
      <w:numFmt w:val="decimal"/>
      <w:lvlText w:val="%1)"/>
      <w:lvlJc w:val="left"/>
      <w:pPr>
        <w:tabs>
          <w:tab w:val="num" w:pos="360"/>
        </w:tabs>
        <w:ind w:left="360" w:hanging="360"/>
      </w:pPr>
      <w:rPr>
        <w:rFonts w:ascii="Arial" w:hAnsi="Arial" w:cs="Arial" w:hint="default"/>
        <w:b/>
        <w:bCs/>
        <w:i w:val="0"/>
        <w:iCs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62B"/>
    <w:rsid w:val="0010480F"/>
    <w:rsid w:val="0012062B"/>
    <w:rsid w:val="00453344"/>
    <w:rsid w:val="004A699A"/>
    <w:rsid w:val="00573733"/>
    <w:rsid w:val="006C43BB"/>
    <w:rsid w:val="006F67BB"/>
    <w:rsid w:val="00752A74"/>
    <w:rsid w:val="007A42F1"/>
    <w:rsid w:val="008B2D9D"/>
    <w:rsid w:val="008D06A4"/>
    <w:rsid w:val="00BA6900"/>
    <w:rsid w:val="00E74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basedOn w:val="Normal"/>
    <w:next w:val="Normal"/>
    <w:link w:val="Ttulo1Car"/>
    <w:uiPriority w:val="99"/>
    <w:qFormat/>
    <w:pPr>
      <w:keepNext/>
      <w:spacing w:line="360" w:lineRule="auto"/>
      <w:jc w:val="both"/>
      <w:outlineLvl w:val="0"/>
    </w:pPr>
    <w:rPr>
      <w:rFonts w:ascii="Arial" w:hAnsi="Arial" w:cs="Arial"/>
      <w:b/>
      <w:b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rPr>
      <w:rFonts w:ascii="Cambria" w:hAnsi="Cambria" w:cs="Cambria"/>
      <w:b/>
      <w:bCs/>
      <w:kern w:val="32"/>
      <w:sz w:val="32"/>
      <w:szCs w:val="32"/>
    </w:rPr>
  </w:style>
  <w:style w:type="paragraph" w:styleId="Ttulo">
    <w:name w:val="Title"/>
    <w:basedOn w:val="Normal"/>
    <w:link w:val="TtuloCar"/>
    <w:uiPriority w:val="99"/>
    <w:qFormat/>
    <w:pPr>
      <w:spacing w:line="360" w:lineRule="auto"/>
      <w:jc w:val="center"/>
    </w:pPr>
    <w:rPr>
      <w:rFonts w:ascii="Arial" w:hAnsi="Arial" w:cs="Arial"/>
      <w:b/>
      <w:bCs/>
      <w:u w:val="single"/>
      <w:lang w:val="es-MX"/>
    </w:rPr>
  </w:style>
  <w:style w:type="character" w:customStyle="1" w:styleId="TtuloCar">
    <w:name w:val="Título Car"/>
    <w:link w:val="Ttulo"/>
    <w:uiPriority w:val="99"/>
    <w:rPr>
      <w:rFonts w:ascii="Arial" w:hAnsi="Arial" w:cs="Arial"/>
      <w:b/>
      <w:bCs/>
      <w:sz w:val="20"/>
      <w:szCs w:val="20"/>
      <w:u w:val="single"/>
      <w:lang w:val="es-MX" w:eastAsia="es-ES"/>
    </w:rPr>
  </w:style>
  <w:style w:type="paragraph" w:styleId="Textoindependiente">
    <w:name w:val="Body Text"/>
    <w:basedOn w:val="Normal"/>
    <w:link w:val="TextoindependienteCar"/>
    <w:uiPriority w:val="99"/>
    <w:pPr>
      <w:spacing w:line="360" w:lineRule="auto"/>
      <w:jc w:val="both"/>
    </w:pPr>
    <w:rPr>
      <w:rFonts w:ascii="Arial" w:hAnsi="Arial" w:cs="Arial"/>
      <w:lang w:val="es-MX"/>
    </w:rPr>
  </w:style>
  <w:style w:type="character" w:customStyle="1" w:styleId="TextoindependienteCar">
    <w:name w:val="Texto independiente Car"/>
    <w:link w:val="Textoindependiente"/>
    <w:uiPriority w:val="99"/>
    <w:rPr>
      <w:rFonts w:ascii="Arial" w:hAnsi="Arial" w:cs="Arial"/>
      <w:sz w:val="24"/>
      <w:szCs w:val="24"/>
      <w:lang w:val="es-MX" w:eastAsia="es-ES"/>
    </w:rPr>
  </w:style>
  <w:style w:type="character" w:styleId="Nmerodepgina">
    <w:name w:val="page number"/>
    <w:uiPriority w:val="99"/>
    <w:rPr>
      <w:rFonts w:ascii="Times New Roman" w:hAnsi="Times New Roman" w:cs="Times New Roman"/>
    </w:rPr>
  </w:style>
  <w:style w:type="paragraph" w:styleId="Piedepgina">
    <w:name w:val="footer"/>
    <w:basedOn w:val="Normal"/>
    <w:link w:val="PiedepginaCar"/>
    <w:uiPriority w:val="99"/>
    <w:pPr>
      <w:tabs>
        <w:tab w:val="center" w:pos="4419"/>
        <w:tab w:val="right" w:pos="8838"/>
      </w:tabs>
    </w:pPr>
    <w:rPr>
      <w:rFonts w:ascii="Arial" w:hAnsi="Arial" w:cs="Arial"/>
    </w:rPr>
  </w:style>
  <w:style w:type="character" w:customStyle="1" w:styleId="PiedepginaCar">
    <w:name w:val="Pie de página Car"/>
    <w:link w:val="Piedepgina"/>
    <w:uiPriority w:val="99"/>
    <w:rPr>
      <w:rFonts w:ascii="Arial" w:hAnsi="Arial" w:cs="Arial"/>
      <w:sz w:val="20"/>
      <w:szCs w:val="20"/>
      <w:lang w:val="es-ES" w:eastAsia="es-ES"/>
    </w:rPr>
  </w:style>
  <w:style w:type="paragraph" w:styleId="Encabezado">
    <w:name w:val="header"/>
    <w:basedOn w:val="Normal"/>
    <w:link w:val="EncabezadoCar"/>
    <w:uiPriority w:val="99"/>
    <w:unhideWhenUsed/>
    <w:rsid w:val="004A699A"/>
    <w:pPr>
      <w:tabs>
        <w:tab w:val="center" w:pos="4252"/>
        <w:tab w:val="right" w:pos="8504"/>
      </w:tabs>
    </w:pPr>
  </w:style>
  <w:style w:type="character" w:customStyle="1" w:styleId="EncabezadoCar">
    <w:name w:val="Encabezado Car"/>
    <w:link w:val="Encabezado"/>
    <w:uiPriority w:val="99"/>
    <w:rsid w:val="004A699A"/>
    <w:rPr>
      <w:rFonts w:ascii="Times New Roman" w:hAnsi="Times New Roman"/>
      <w:sz w:val="24"/>
      <w:szCs w:val="24"/>
      <w:lang w:val="es-ES" w:eastAsia="es-ES"/>
    </w:rPr>
  </w:style>
  <w:style w:type="paragraph" w:styleId="Textodeglobo">
    <w:name w:val="Balloon Text"/>
    <w:basedOn w:val="Normal"/>
    <w:link w:val="TextodegloboCar"/>
    <w:uiPriority w:val="99"/>
    <w:semiHidden/>
    <w:unhideWhenUsed/>
    <w:rsid w:val="00752A74"/>
    <w:rPr>
      <w:rFonts w:ascii="Tahoma" w:hAnsi="Tahoma" w:cs="Tahoma"/>
      <w:sz w:val="16"/>
      <w:szCs w:val="16"/>
    </w:rPr>
  </w:style>
  <w:style w:type="character" w:customStyle="1" w:styleId="TextodegloboCar">
    <w:name w:val="Texto de globo Car"/>
    <w:basedOn w:val="Fuentedeprrafopredeter"/>
    <w:link w:val="Textodeglobo"/>
    <w:uiPriority w:val="99"/>
    <w:semiHidden/>
    <w:rsid w:val="00752A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836</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LICITACIÓN PÚBLICA</vt:lpstr>
    </vt:vector>
  </TitlesOfParts>
  <Company>Hewlett-Packard</Company>
  <LinksUpToDate>false</LinksUpToDate>
  <CharactersWithSpaces>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dc:title>
  <dc:subject/>
  <dc:creator>Mage</dc:creator>
  <cp:keywords/>
  <dc:description/>
  <cp:lastModifiedBy>Tribunal1</cp:lastModifiedBy>
  <cp:revision>13</cp:revision>
  <cp:lastPrinted>2015-01-14T14:54:00Z</cp:lastPrinted>
  <dcterms:created xsi:type="dcterms:W3CDTF">2015-01-14T13:03:00Z</dcterms:created>
  <dcterms:modified xsi:type="dcterms:W3CDTF">2015-01-14T14:54:00Z</dcterms:modified>
</cp:coreProperties>
</file>