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5AD" w:rsidRDefault="00DB05AD">
      <w:pPr>
        <w:tabs>
          <w:tab w:val="center" w:pos="4253"/>
        </w:tabs>
        <w:suppressAutoHyphens/>
        <w:jc w:val="center"/>
        <w:rPr>
          <w:rFonts w:ascii="Helvetica" w:hAnsi="Helvetica"/>
          <w:b/>
          <w:lang w:val="es-ES_tradnl"/>
        </w:rPr>
      </w:pPr>
      <w:r>
        <w:rPr>
          <w:rFonts w:ascii="Helvetica" w:hAnsi="Helvetica"/>
          <w:b/>
          <w:lang w:val="es-ES_tradnl"/>
        </w:rPr>
        <w:t>RESOLUCION AD</w:t>
      </w:r>
      <w:bookmarkStart w:id="0" w:name="_GoBack"/>
      <w:bookmarkEnd w:id="0"/>
      <w:r>
        <w:rPr>
          <w:rFonts w:ascii="Helvetica" w:hAnsi="Helvetica"/>
          <w:b/>
          <w:lang w:val="es-ES_tradnl"/>
        </w:rPr>
        <w:t>OPTADA POR EL</w:t>
      </w:r>
    </w:p>
    <w:p w:rsidR="00DB05AD" w:rsidRDefault="00DB05AD">
      <w:pPr>
        <w:tabs>
          <w:tab w:val="left" w:pos="-720"/>
        </w:tabs>
        <w:suppressAutoHyphens/>
        <w:jc w:val="center"/>
        <w:rPr>
          <w:rFonts w:ascii="Helvetica" w:hAnsi="Helvetica"/>
          <w:b/>
          <w:lang w:val="es-ES_tradnl"/>
        </w:rPr>
      </w:pPr>
    </w:p>
    <w:p w:rsidR="00DB05AD" w:rsidRDefault="00DB05AD">
      <w:pPr>
        <w:tabs>
          <w:tab w:val="center" w:pos="4253"/>
        </w:tabs>
        <w:suppressAutoHyphens/>
        <w:jc w:val="center"/>
        <w:rPr>
          <w:rFonts w:ascii="Helvetica" w:hAnsi="Helvetica"/>
          <w:b/>
          <w:lang w:val="es-ES_tradnl"/>
        </w:rPr>
      </w:pPr>
      <w:r>
        <w:rPr>
          <w:rFonts w:ascii="Helvetica" w:hAnsi="Helvetica"/>
          <w:b/>
          <w:lang w:val="es-ES_tradnl"/>
        </w:rPr>
        <w:t>TRIBUNAL DE CUENTAS</w:t>
      </w:r>
    </w:p>
    <w:p w:rsidR="00DB05AD" w:rsidRDefault="00DB05AD">
      <w:pPr>
        <w:tabs>
          <w:tab w:val="left" w:pos="-720"/>
        </w:tabs>
        <w:suppressAutoHyphens/>
        <w:jc w:val="center"/>
        <w:rPr>
          <w:rFonts w:ascii="Helvetica" w:hAnsi="Helvetica"/>
          <w:b/>
          <w:lang w:val="es-ES_tradnl"/>
        </w:rPr>
      </w:pPr>
    </w:p>
    <w:p w:rsidR="00DB05AD" w:rsidRDefault="00DB05AD">
      <w:pPr>
        <w:tabs>
          <w:tab w:val="center" w:pos="4253"/>
        </w:tabs>
        <w:suppressAutoHyphens/>
        <w:jc w:val="center"/>
        <w:rPr>
          <w:rFonts w:ascii="Helvetica" w:hAnsi="Helvetica"/>
          <w:b/>
          <w:lang w:val="es-ES_tradnl"/>
        </w:rPr>
      </w:pPr>
      <w:r>
        <w:rPr>
          <w:rFonts w:ascii="Helvetica" w:hAnsi="Helvetica"/>
          <w:b/>
          <w:lang w:val="es-ES_tradnl"/>
        </w:rPr>
        <w:t>EN SESION DE FECHA 3 DE DICIEMBRE DE 2014</w:t>
      </w:r>
    </w:p>
    <w:p w:rsidR="00DB05AD" w:rsidRDefault="00DB05AD">
      <w:pPr>
        <w:tabs>
          <w:tab w:val="center" w:pos="4253"/>
        </w:tabs>
        <w:suppressAutoHyphens/>
        <w:jc w:val="center"/>
        <w:rPr>
          <w:rFonts w:ascii="Helvetica" w:hAnsi="Helvetica"/>
          <w:b/>
          <w:lang w:val="es-ES_tradnl"/>
        </w:rPr>
      </w:pPr>
    </w:p>
    <w:p w:rsidR="00DB05AD" w:rsidRDefault="00DB05AD">
      <w:pPr>
        <w:tabs>
          <w:tab w:val="center" w:pos="4253"/>
        </w:tabs>
        <w:suppressAutoHyphens/>
        <w:jc w:val="center"/>
        <w:rPr>
          <w:rFonts w:ascii="Helvetica" w:hAnsi="Helvetica"/>
          <w:b/>
          <w:lang w:val="en-US"/>
        </w:rPr>
      </w:pPr>
      <w:r>
        <w:rPr>
          <w:rFonts w:ascii="Helvetica" w:hAnsi="Helvetica"/>
          <w:b/>
          <w:lang w:val="en-US"/>
        </w:rPr>
        <w:t xml:space="preserve">(E. E. Nº 2013-17-1-0005586, </w:t>
      </w:r>
      <w:proofErr w:type="spellStart"/>
      <w:proofErr w:type="gramStart"/>
      <w:r>
        <w:rPr>
          <w:rFonts w:ascii="Helvetica" w:hAnsi="Helvetica"/>
          <w:b/>
          <w:lang w:val="en-US"/>
        </w:rPr>
        <w:t>Ent</w:t>
      </w:r>
      <w:proofErr w:type="spellEnd"/>
      <w:proofErr w:type="gramEnd"/>
      <w:r>
        <w:rPr>
          <w:rFonts w:ascii="Helvetica" w:hAnsi="Helvetica"/>
          <w:b/>
          <w:lang w:val="en-US"/>
        </w:rPr>
        <w:t>. N° 7018/14)</w:t>
      </w:r>
    </w:p>
    <w:p w:rsidR="00DB05AD" w:rsidRDefault="00DB05AD">
      <w:pPr>
        <w:tabs>
          <w:tab w:val="center" w:pos="4253"/>
        </w:tabs>
        <w:suppressAutoHyphens/>
        <w:jc w:val="center"/>
        <w:rPr>
          <w:spacing w:val="-3"/>
          <w:lang w:val="en-US"/>
        </w:rPr>
      </w:pPr>
    </w:p>
    <w:p w:rsidR="00DB05AD" w:rsidRDefault="00DB05AD">
      <w:pPr>
        <w:tabs>
          <w:tab w:val="center" w:pos="4253"/>
        </w:tabs>
        <w:suppressAutoHyphens/>
        <w:rPr>
          <w:spacing w:val="-3"/>
          <w:lang w:val="en-US"/>
        </w:rPr>
      </w:pPr>
    </w:p>
    <w:p w:rsidR="008F24BC" w:rsidRDefault="00DB05AD">
      <w:pPr>
        <w:spacing w:line="360" w:lineRule="auto"/>
        <w:jc w:val="both"/>
      </w:pPr>
      <w:r>
        <w:rPr>
          <w:b/>
          <w:bCs/>
        </w:rPr>
        <w:tab/>
      </w:r>
      <w:r w:rsidR="008F24BC">
        <w:rPr>
          <w:b/>
          <w:bCs/>
        </w:rPr>
        <w:t xml:space="preserve">VISTO: </w:t>
      </w:r>
      <w:r w:rsidR="008F24BC">
        <w:t>estos antecedentes remitidos por PLUNA Ente Autónomo, relacionados con la contratación en régimen de arrendamiento de obra del D</w:t>
      </w:r>
      <w:r>
        <w:t>octo</w:t>
      </w:r>
      <w:r w:rsidR="008F24BC">
        <w:t xml:space="preserve">r Daniel de </w:t>
      </w:r>
      <w:proofErr w:type="spellStart"/>
      <w:r w:rsidR="008F24BC">
        <w:t>Siano</w:t>
      </w:r>
      <w:proofErr w:type="spellEnd"/>
      <w:r w:rsidR="008F24BC">
        <w:t>;</w:t>
      </w:r>
    </w:p>
    <w:p w:rsidR="008F24BC" w:rsidRDefault="008F24BC" w:rsidP="00DB05AD">
      <w:pPr>
        <w:tabs>
          <w:tab w:val="left" w:pos="1920"/>
        </w:tabs>
        <w:spacing w:line="360" w:lineRule="auto"/>
        <w:ind w:firstLine="709"/>
        <w:jc w:val="both"/>
      </w:pPr>
      <w:r>
        <w:rPr>
          <w:b/>
          <w:bCs/>
        </w:rPr>
        <w:t>RESULTANDO:</w:t>
      </w:r>
      <w:r w:rsidR="00DB05AD">
        <w:rPr>
          <w:b/>
          <w:bCs/>
        </w:rPr>
        <w:t xml:space="preserve"> </w:t>
      </w:r>
      <w:r>
        <w:rPr>
          <w:b/>
          <w:bCs/>
        </w:rPr>
        <w:t>1)</w:t>
      </w:r>
      <w:r>
        <w:t xml:space="preserve"> que el Directorio, por Resolución Nº 16.373 de 14 de noviembre  de 2014, dispuso  contratar al D</w:t>
      </w:r>
      <w:r w:rsidR="00723CC3">
        <w:t>octo</w:t>
      </w:r>
      <w:r>
        <w:t xml:space="preserve">r Daniel de </w:t>
      </w:r>
      <w:proofErr w:type="spellStart"/>
      <w:r>
        <w:t>Siano</w:t>
      </w:r>
      <w:proofErr w:type="spellEnd"/>
      <w:r>
        <w:t xml:space="preserve">,  en régimen de arrendamiento de obra, al amparo de lo dispuesto por la Resolución del Poder Ejecutivo de fecha 7 de agosto de 2012, para  colaborar con  la Gerencia Jurídica del Ente, en los siguientes juicios: Fretes, Guillermo c/ PLUNA S.A y otros JLTC 12º Turno; </w:t>
      </w:r>
      <w:proofErr w:type="spellStart"/>
      <w:r>
        <w:t>Curuchet</w:t>
      </w:r>
      <w:proofErr w:type="spellEnd"/>
      <w:r>
        <w:t xml:space="preserve"> Viera, Eduardo y otros c/ PLANA S.A. JLTC 12º Turno; Gil Peterson, Andrés c/ PLANA S.A. y otros JLTC 11º Turno; </w:t>
      </w:r>
      <w:proofErr w:type="spellStart"/>
      <w:r>
        <w:t>Boix</w:t>
      </w:r>
      <w:proofErr w:type="spellEnd"/>
      <w:r>
        <w:t xml:space="preserve"> </w:t>
      </w:r>
      <w:proofErr w:type="spellStart"/>
      <w:r>
        <w:t>Greczanik</w:t>
      </w:r>
      <w:proofErr w:type="spellEnd"/>
      <w:r>
        <w:t xml:space="preserve">, Silvia y otros c/ PLANA S.A.  </w:t>
      </w:r>
      <w:proofErr w:type="gramStart"/>
      <w:r>
        <w:t>y</w:t>
      </w:r>
      <w:proofErr w:type="gramEnd"/>
      <w:r>
        <w:t xml:space="preserve"> otros JLTC 7º Turno; </w:t>
      </w:r>
      <w:proofErr w:type="spellStart"/>
      <w:r>
        <w:t>Aiscar</w:t>
      </w:r>
      <w:proofErr w:type="spellEnd"/>
      <w:r>
        <w:t xml:space="preserve"> </w:t>
      </w:r>
      <w:proofErr w:type="spellStart"/>
      <w:r>
        <w:t>Bayeto</w:t>
      </w:r>
      <w:proofErr w:type="spellEnd"/>
      <w:r>
        <w:t xml:space="preserve">, Pablo y otros c/ PLANA S.A. y otros JLTC 9º Turno y </w:t>
      </w:r>
      <w:proofErr w:type="spellStart"/>
      <w:r>
        <w:t>Bardesio</w:t>
      </w:r>
      <w:proofErr w:type="spellEnd"/>
      <w:r>
        <w:t xml:space="preserve"> Aguilera, Gabriela y otros c/ PLANA S.A. y otros JLTC 2º Turno con expresa exclusión del proceso para el que ya se han acordado oportunamente los mismos (</w:t>
      </w:r>
      <w:proofErr w:type="spellStart"/>
      <w:r>
        <w:t>Poggio</w:t>
      </w:r>
      <w:proofErr w:type="spellEnd"/>
      <w:r>
        <w:t xml:space="preserve"> Bernardo y otros  c/ PLANA S.A. y otros  tramitado ante el Juzgado Letrado de la Capital de 9º Turno);  </w:t>
      </w:r>
      <w:r>
        <w:tab/>
        <w:t xml:space="preserve"> </w:t>
      </w:r>
    </w:p>
    <w:p w:rsidR="008F24BC" w:rsidRDefault="008F24BC" w:rsidP="00DB05AD">
      <w:pPr>
        <w:tabs>
          <w:tab w:val="left" w:pos="1920"/>
        </w:tabs>
        <w:spacing w:line="360" w:lineRule="auto"/>
        <w:ind w:firstLine="2552"/>
        <w:jc w:val="both"/>
      </w:pPr>
      <w:r w:rsidRPr="00DB05AD">
        <w:rPr>
          <w:b/>
        </w:rPr>
        <w:t>2</w:t>
      </w:r>
      <w:r w:rsidRPr="00DB05AD">
        <w:rPr>
          <w:b/>
          <w:bCs/>
        </w:rPr>
        <w:t>)</w:t>
      </w:r>
      <w:r>
        <w:rPr>
          <w:b/>
          <w:bCs/>
        </w:rPr>
        <w:t xml:space="preserve"> </w:t>
      </w:r>
      <w:r>
        <w:t>que se da cuenta que el profesional es abogado con notoria especialidad, trayectoria e infraestructura,  para dar cumplimiento al contrato;</w:t>
      </w:r>
    </w:p>
    <w:p w:rsidR="008F24BC" w:rsidRDefault="008F24BC" w:rsidP="00DB05AD">
      <w:pPr>
        <w:tabs>
          <w:tab w:val="left" w:pos="1920"/>
        </w:tabs>
        <w:spacing w:line="360" w:lineRule="auto"/>
        <w:ind w:firstLine="2552"/>
        <w:jc w:val="both"/>
      </w:pPr>
      <w:r w:rsidRPr="00DB05AD">
        <w:rPr>
          <w:b/>
        </w:rPr>
        <w:t>3</w:t>
      </w:r>
      <w:r w:rsidRPr="00DB05AD">
        <w:rPr>
          <w:b/>
          <w:bCs/>
        </w:rPr>
        <w:t>)</w:t>
      </w:r>
      <w:r>
        <w:t xml:space="preserve"> que se señala que el profesional presupuestó,  por sus tareas en los referidos procesos,  la suma de U$S 40.000 mas IVA, a los q</w:t>
      </w:r>
      <w:r w:rsidR="006B569E">
        <w:t>ue deberá adicionarse “el 10% má</w:t>
      </w:r>
      <w:r>
        <w:t xml:space="preserve">s IVA de todas aquellas partidas debidamente  reajustadas al momento de la cancelación de los honorarios </w:t>
      </w:r>
      <w:r>
        <w:lastRenderedPageBreak/>
        <w:t>profesionales pretendidas en estos procesos, en las que PLUNA Ente Autónomo, resulte gananciosa y en consecuencia se prive de abonar”</w:t>
      </w:r>
      <w:r w:rsidR="00DB05AD">
        <w:t>;</w:t>
      </w:r>
      <w:r>
        <w:t xml:space="preserve"> </w:t>
      </w:r>
    </w:p>
    <w:p w:rsidR="008F24BC" w:rsidRDefault="008F24BC" w:rsidP="00DB05AD">
      <w:pPr>
        <w:tabs>
          <w:tab w:val="left" w:pos="1920"/>
        </w:tabs>
        <w:spacing w:line="360" w:lineRule="auto"/>
        <w:ind w:firstLine="2552"/>
        <w:jc w:val="both"/>
      </w:pPr>
      <w:r w:rsidRPr="00DB05AD">
        <w:rPr>
          <w:b/>
        </w:rPr>
        <w:t>4</w:t>
      </w:r>
      <w:r w:rsidRPr="00DB05AD">
        <w:rPr>
          <w:b/>
          <w:bCs/>
        </w:rPr>
        <w:t>)</w:t>
      </w:r>
      <w:r>
        <w:t xml:space="preserve"> que la Contadora Delegada, con fecha 18.11.2014, informo que  el monto del gasto, en lo que respecta a la partida fija acordada, que asciende a  U$S 48.800 ,IVA incluido, (que equivale a $</w:t>
      </w:r>
      <w:r w:rsidR="00DB05AD">
        <w:t xml:space="preserve"> </w:t>
      </w:r>
      <w:r>
        <w:t xml:space="preserve">1.173.103,20),  será imputado al objeto del gasto 2/282 “Servicios Profesionales y técnicos”, no contándose con disponibilidad presupuestal suficiente en el mismo,  y que además, dicho honorario cuenta con una partida variable, sujeta a resultados, de la cual no puede establecerse su monto; </w:t>
      </w:r>
    </w:p>
    <w:p w:rsidR="008F24BC" w:rsidRDefault="008F24BC" w:rsidP="00DB05AD">
      <w:pPr>
        <w:tabs>
          <w:tab w:val="left" w:pos="1920"/>
        </w:tabs>
        <w:spacing w:line="360" w:lineRule="auto"/>
        <w:ind w:firstLine="2552"/>
        <w:jc w:val="both"/>
      </w:pPr>
      <w:r w:rsidRPr="00DB05AD">
        <w:rPr>
          <w:b/>
        </w:rPr>
        <w:t>5</w:t>
      </w:r>
      <w:r w:rsidRPr="00DB05AD">
        <w:rPr>
          <w:b/>
          <w:bCs/>
        </w:rPr>
        <w:t>)</w:t>
      </w:r>
      <w:r>
        <w:t xml:space="preserve"> que las presentes actuaciones ingresaron a este Tribunal el 18 de noviembre de 2014;</w:t>
      </w:r>
    </w:p>
    <w:p w:rsidR="008F24BC" w:rsidRDefault="008F24BC" w:rsidP="00DB05AD">
      <w:pPr>
        <w:tabs>
          <w:tab w:val="left" w:pos="1920"/>
        </w:tabs>
        <w:spacing w:line="360" w:lineRule="auto"/>
        <w:ind w:firstLine="709"/>
        <w:jc w:val="both"/>
      </w:pPr>
      <w:r>
        <w:rPr>
          <w:b/>
          <w:bCs/>
        </w:rPr>
        <w:t xml:space="preserve">CONSIDERANDO: </w:t>
      </w:r>
      <w:r w:rsidRPr="00DB05AD">
        <w:rPr>
          <w:b/>
          <w:bCs/>
          <w:lang w:val="es-MX"/>
        </w:rPr>
        <w:t>1</w:t>
      </w:r>
      <w:r w:rsidRPr="00DB05AD">
        <w:rPr>
          <w:b/>
          <w:bCs/>
        </w:rPr>
        <w:t>)</w:t>
      </w:r>
      <w:r>
        <w:rPr>
          <w:rFonts w:ascii="Times New Roman" w:hAnsi="Times New Roman" w:cs="Times New Roman"/>
        </w:rPr>
        <w:t xml:space="preserve"> </w:t>
      </w:r>
      <w:r>
        <w:t xml:space="preserve">que de conformidad con lo dispuesto por Resolución del Poder Ejecutivo de fecha 7 de agosto de 2012, se autorizó a </w:t>
      </w:r>
      <w:proofErr w:type="spellStart"/>
      <w:r>
        <w:t>Pluna</w:t>
      </w:r>
      <w:proofErr w:type="spellEnd"/>
      <w:r>
        <w:t xml:space="preserve"> E.A. a disponer los actos necesarios y contrataciones de servicios profesionales para el cumplimiento de las obligaciones derivadas de la situación de insolvencia de </w:t>
      </w:r>
      <w:proofErr w:type="spellStart"/>
      <w:r>
        <w:t>Pluna</w:t>
      </w:r>
      <w:proofErr w:type="spellEnd"/>
      <w:r>
        <w:t xml:space="preserve"> S.A;</w:t>
      </w:r>
    </w:p>
    <w:p w:rsidR="008F24BC" w:rsidRDefault="008F24BC" w:rsidP="00DB05AD">
      <w:pPr>
        <w:tabs>
          <w:tab w:val="left" w:pos="1920"/>
        </w:tabs>
        <w:spacing w:line="360" w:lineRule="auto"/>
        <w:ind w:firstLine="2977"/>
        <w:jc w:val="both"/>
      </w:pPr>
      <w:r>
        <w:rPr>
          <w:b/>
          <w:bCs/>
        </w:rPr>
        <w:t>2)</w:t>
      </w:r>
      <w:r>
        <w:t xml:space="preserve"> qu</w:t>
      </w:r>
      <w:r w:rsidR="00DB05AD">
        <w:t>e no obstante lo expresado, la L</w:t>
      </w:r>
      <w:r>
        <w:t xml:space="preserve">ey no excepciona a PLUNA E.A., de los procedimientos de contratación establecidos en el Texto Ordenado de Contabilidad y Administración Financiera (TOCAF), por lo que corresponde aplicar las normas generales en la materia; </w:t>
      </w:r>
    </w:p>
    <w:p w:rsidR="008F24BC" w:rsidRDefault="008F24BC" w:rsidP="00DB05AD">
      <w:pPr>
        <w:tabs>
          <w:tab w:val="left" w:pos="1920"/>
        </w:tabs>
        <w:spacing w:line="360" w:lineRule="auto"/>
        <w:ind w:firstLine="2977"/>
        <w:jc w:val="both"/>
      </w:pPr>
      <w:r>
        <w:rPr>
          <w:b/>
          <w:bCs/>
        </w:rPr>
        <w:t>3)</w:t>
      </w:r>
      <w:r>
        <w:t xml:space="preserve"> que en tal sentido, en la especie, tratándose  de un contrato de arrendamiento de obra de un profesional, el procedimiento aplicable es el general de contratación que se determina atendiendo al monto del contrato, conforme con lo que dispone el </w:t>
      </w:r>
      <w:r w:rsidR="00DB05AD">
        <w:t>A</w:t>
      </w:r>
      <w:r>
        <w:t>rtículo 33 del TOCAF. En el presente caso, en tanto  se trata de un contrato cuyo monto total excede el tope de la contratación directa ampliada aplicable a PLUNA E.A., el mismo debió efectuarse a través de un procedimiento competitivo de selección del adjudicatario;</w:t>
      </w:r>
    </w:p>
    <w:p w:rsidR="00DB05AD" w:rsidRDefault="008F24BC" w:rsidP="00DB05AD">
      <w:pPr>
        <w:tabs>
          <w:tab w:val="left" w:pos="1920"/>
        </w:tabs>
        <w:spacing w:line="360" w:lineRule="auto"/>
        <w:ind w:firstLine="2977"/>
        <w:jc w:val="both"/>
      </w:pPr>
      <w:r>
        <w:rPr>
          <w:b/>
          <w:bCs/>
        </w:rPr>
        <w:lastRenderedPageBreak/>
        <w:t>4)</w:t>
      </w:r>
      <w:r>
        <w:t xml:space="preserve"> que la presente contratación no cuenta con autorización del Poder Ejecutivo ni con informe  de la Oficina de Planeamiento y Presupuesto ni de la ONSC, tal como el inciso tercero del artículo 38 del TOCAF lo exige para los contratos de arrendamiento de obra que celebren los servicios descentralizados y los entes autónomo</w:t>
      </w:r>
      <w:r w:rsidR="00DB05AD">
        <w:t xml:space="preserve">s industriales y comerciales;  </w:t>
      </w:r>
    </w:p>
    <w:p w:rsidR="00723CC3" w:rsidRDefault="008F24BC" w:rsidP="00723CC3">
      <w:pPr>
        <w:tabs>
          <w:tab w:val="left" w:pos="1920"/>
        </w:tabs>
        <w:spacing w:line="360" w:lineRule="auto"/>
        <w:ind w:firstLine="2977"/>
        <w:jc w:val="both"/>
        <w:rPr>
          <w:lang w:val="es-MX"/>
        </w:rPr>
      </w:pPr>
      <w:r>
        <w:rPr>
          <w:b/>
          <w:bCs/>
        </w:rPr>
        <w:t xml:space="preserve">5) </w:t>
      </w:r>
      <w:r>
        <w:t xml:space="preserve">que  </w:t>
      </w:r>
      <w:r>
        <w:rPr>
          <w:lang w:val="es-MX"/>
        </w:rPr>
        <w:t xml:space="preserve">no existe disponibilidad presupuestal en el grupo de imputación para atender la erogación correspondiente, por lo que se contraviene lo dispuesto por el </w:t>
      </w:r>
      <w:r w:rsidR="00723CC3">
        <w:rPr>
          <w:lang w:val="es-MX"/>
        </w:rPr>
        <w:t>I</w:t>
      </w:r>
      <w:r>
        <w:rPr>
          <w:lang w:val="es-MX"/>
        </w:rPr>
        <w:t>nciso 1</w:t>
      </w:r>
      <w:r w:rsidR="00723CC3">
        <w:rPr>
          <w:lang w:val="es-MX"/>
        </w:rPr>
        <w:t>)</w:t>
      </w:r>
      <w:r>
        <w:rPr>
          <w:lang w:val="es-MX"/>
        </w:rPr>
        <w:t xml:space="preserve"> del </w:t>
      </w:r>
      <w:r w:rsidR="00723CC3">
        <w:rPr>
          <w:lang w:val="es-MX"/>
        </w:rPr>
        <w:t>A</w:t>
      </w:r>
      <w:r>
        <w:rPr>
          <w:lang w:val="es-MX"/>
        </w:rPr>
        <w:t>rtículo 15 del TOCAF;</w:t>
      </w:r>
    </w:p>
    <w:p w:rsidR="00723CC3" w:rsidRDefault="008F24BC" w:rsidP="00723CC3">
      <w:pPr>
        <w:tabs>
          <w:tab w:val="left" w:pos="1920"/>
        </w:tabs>
        <w:spacing w:line="360" w:lineRule="auto"/>
        <w:ind w:firstLine="2977"/>
        <w:jc w:val="both"/>
        <w:rPr>
          <w:lang w:val="es-MX"/>
        </w:rPr>
      </w:pPr>
      <w:r>
        <w:rPr>
          <w:b/>
          <w:bCs/>
          <w:lang w:val="es-MX"/>
        </w:rPr>
        <w:t>6)</w:t>
      </w:r>
      <w:r>
        <w:rPr>
          <w:lang w:val="es-MX"/>
        </w:rPr>
        <w:t xml:space="preserve"> que la Resolución de fecha 14 de noviembre de 2014,que dispone la contratación  autoriza el pago, razón por la cual se entiende que el gasto cuenta con principio de ejecución, en contravención de lo establecido por el </w:t>
      </w:r>
      <w:r w:rsidR="00723CC3">
        <w:rPr>
          <w:lang w:val="es-MX"/>
        </w:rPr>
        <w:t>A</w:t>
      </w:r>
      <w:r>
        <w:rPr>
          <w:lang w:val="es-MX"/>
        </w:rPr>
        <w:t>rt</w:t>
      </w:r>
      <w:r w:rsidR="00723CC3">
        <w:rPr>
          <w:lang w:val="es-MX"/>
        </w:rPr>
        <w:t>ículo</w:t>
      </w:r>
      <w:r>
        <w:rPr>
          <w:lang w:val="es-MX"/>
        </w:rPr>
        <w:t xml:space="preserve"> 211 </w:t>
      </w:r>
      <w:r w:rsidR="00723CC3">
        <w:rPr>
          <w:lang w:val="es-MX"/>
        </w:rPr>
        <w:t>L</w:t>
      </w:r>
      <w:r>
        <w:rPr>
          <w:lang w:val="es-MX"/>
        </w:rPr>
        <w:t>iteral B) de la Constitución</w:t>
      </w:r>
      <w:r w:rsidR="00723CC3">
        <w:rPr>
          <w:lang w:val="es-MX"/>
        </w:rPr>
        <w:t xml:space="preserve"> de la República</w:t>
      </w:r>
      <w:r>
        <w:rPr>
          <w:lang w:val="es-MX"/>
        </w:rPr>
        <w:t xml:space="preserve">; </w:t>
      </w:r>
    </w:p>
    <w:p w:rsidR="008F24BC" w:rsidRPr="00723CC3" w:rsidRDefault="008F24BC" w:rsidP="00723CC3">
      <w:pPr>
        <w:tabs>
          <w:tab w:val="left" w:pos="1920"/>
        </w:tabs>
        <w:spacing w:line="360" w:lineRule="auto"/>
        <w:ind w:firstLine="2977"/>
        <w:jc w:val="both"/>
      </w:pPr>
      <w:r>
        <w:rPr>
          <w:b/>
          <w:bCs/>
          <w:lang w:val="es-MX"/>
        </w:rPr>
        <w:t xml:space="preserve">7) </w:t>
      </w:r>
      <w:r>
        <w:rPr>
          <w:lang w:val="es-MX"/>
        </w:rPr>
        <w:t xml:space="preserve">que este Tribunal observó  - en Sesión de fecha  25 de setiembre de 2013- el gasto de otra contratación, en casi los mismos  términos que la presente,  con el referido profesional, respecto a otro juicio laboral promovido por personal de </w:t>
      </w:r>
      <w:r w:rsidR="00723CC3">
        <w:rPr>
          <w:lang w:val="es-MX"/>
        </w:rPr>
        <w:t>PLUNA</w:t>
      </w:r>
      <w:r>
        <w:rPr>
          <w:lang w:val="es-MX"/>
        </w:rPr>
        <w:t xml:space="preserve">, donde se formularon  las mismas observaciones que en la presente, sin haberse corregido dicha situación; </w:t>
      </w:r>
    </w:p>
    <w:p w:rsidR="008F24BC" w:rsidRDefault="00723CC3">
      <w:pPr>
        <w:pStyle w:val="Textoindependiente"/>
        <w:rPr>
          <w:b/>
          <w:bCs/>
        </w:rPr>
      </w:pPr>
      <w:r>
        <w:rPr>
          <w:b/>
          <w:bCs/>
        </w:rPr>
        <w:tab/>
      </w:r>
      <w:r w:rsidR="008F24BC">
        <w:rPr>
          <w:b/>
          <w:bCs/>
        </w:rPr>
        <w:t>ATENTO:</w:t>
      </w:r>
      <w:r w:rsidR="008F24BC">
        <w:t xml:space="preserve"> a lo precedentemente expuesto, a lo dispuesto por el </w:t>
      </w:r>
      <w:r>
        <w:t>A</w:t>
      </w:r>
      <w:r w:rsidR="008F24BC">
        <w:t>rt</w:t>
      </w:r>
      <w:r>
        <w:t>ículo</w:t>
      </w:r>
      <w:r w:rsidR="008F24BC">
        <w:t xml:space="preserve"> 211 </w:t>
      </w:r>
      <w:r>
        <w:t>L</w:t>
      </w:r>
      <w:r w:rsidR="008F24BC">
        <w:t xml:space="preserve">iteral B) de la Constitución de la República y </w:t>
      </w:r>
      <w:r>
        <w:t>A</w:t>
      </w:r>
      <w:r w:rsidR="008F24BC">
        <w:t>rtículo 33 del TOCAF;</w:t>
      </w:r>
    </w:p>
    <w:p w:rsidR="008F24BC" w:rsidRDefault="008F24BC">
      <w:pPr>
        <w:pStyle w:val="Ttulo2"/>
      </w:pPr>
      <w:r>
        <w:t>EL TRIBUNAL ACUERDA</w:t>
      </w:r>
    </w:p>
    <w:p w:rsidR="008F24BC" w:rsidRDefault="00882B74" w:rsidP="00882B74">
      <w:pPr>
        <w:spacing w:line="360" w:lineRule="auto"/>
        <w:jc w:val="both"/>
        <w:rPr>
          <w:lang w:val="es-MX"/>
        </w:rPr>
      </w:pPr>
      <w:r w:rsidRPr="00882B74">
        <w:rPr>
          <w:b/>
        </w:rPr>
        <w:t>1)</w:t>
      </w:r>
      <w:r>
        <w:t xml:space="preserve"> </w:t>
      </w:r>
      <w:r w:rsidR="008F24BC">
        <w:t>Observar el gasto, por lo establecido en los Considerando</w:t>
      </w:r>
      <w:r>
        <w:t>s  2) al 6).</w:t>
      </w:r>
    </w:p>
    <w:p w:rsidR="008F24BC" w:rsidRDefault="00882B74" w:rsidP="00882B74">
      <w:pPr>
        <w:spacing w:line="360" w:lineRule="auto"/>
        <w:jc w:val="both"/>
        <w:rPr>
          <w:lang w:val="es-MX"/>
        </w:rPr>
      </w:pPr>
      <w:r w:rsidRPr="00882B74">
        <w:rPr>
          <w:b/>
          <w:lang w:val="es-MX"/>
        </w:rPr>
        <w:t>2)</w:t>
      </w:r>
      <w:r>
        <w:t xml:space="preserve"> </w:t>
      </w:r>
      <w:r w:rsidR="008F24BC">
        <w:t xml:space="preserve">Téngase presente lo </w:t>
      </w:r>
      <w:r>
        <w:t>señalado en el Considerando 7).</w:t>
      </w:r>
    </w:p>
    <w:p w:rsidR="008F24BC" w:rsidRDefault="00882B74" w:rsidP="00882B74">
      <w:pPr>
        <w:spacing w:line="360" w:lineRule="auto"/>
        <w:jc w:val="both"/>
        <w:rPr>
          <w:lang w:val="es-MX"/>
        </w:rPr>
      </w:pPr>
      <w:r w:rsidRPr="00882B74">
        <w:rPr>
          <w:b/>
          <w:lang w:val="es-MX"/>
        </w:rPr>
        <w:t>3)</w:t>
      </w:r>
      <w:r>
        <w:rPr>
          <w:lang w:val="es-MX"/>
        </w:rPr>
        <w:t xml:space="preserve"> </w:t>
      </w:r>
      <w:r w:rsidR="008F24BC">
        <w:rPr>
          <w:lang w:val="es-MX"/>
        </w:rPr>
        <w:t>Comunicar al Contador Delegado;</w:t>
      </w:r>
      <w:r>
        <w:rPr>
          <w:lang w:val="es-MX"/>
        </w:rPr>
        <w:t xml:space="preserve"> y</w:t>
      </w:r>
    </w:p>
    <w:p w:rsidR="008F24BC" w:rsidRDefault="00882B74" w:rsidP="00882B74">
      <w:pPr>
        <w:spacing w:line="360" w:lineRule="auto"/>
        <w:jc w:val="both"/>
      </w:pPr>
      <w:r w:rsidRPr="00882B74">
        <w:rPr>
          <w:b/>
        </w:rPr>
        <w:t>4)</w:t>
      </w:r>
      <w:r>
        <w:t xml:space="preserve"> </w:t>
      </w:r>
      <w:r w:rsidR="008F24BC">
        <w:t>Devolver las actuaciones.</w:t>
      </w:r>
    </w:p>
    <w:p w:rsidR="00882B74" w:rsidRDefault="00882B74" w:rsidP="00882B74">
      <w:pPr>
        <w:spacing w:line="360" w:lineRule="auto"/>
        <w:jc w:val="both"/>
      </w:pPr>
    </w:p>
    <w:p w:rsidR="00882B74" w:rsidRDefault="00882B74" w:rsidP="00882B74">
      <w:pPr>
        <w:spacing w:line="360" w:lineRule="auto"/>
        <w:jc w:val="both"/>
      </w:pPr>
    </w:p>
    <w:p w:rsidR="00882B74" w:rsidRDefault="00882B74" w:rsidP="00882B74">
      <w:pPr>
        <w:spacing w:line="360" w:lineRule="auto"/>
        <w:jc w:val="both"/>
        <w:rPr>
          <w:lang w:val="es-MX"/>
        </w:rPr>
      </w:pPr>
      <w:proofErr w:type="spellStart"/>
      <w:proofErr w:type="gramStart"/>
      <w:r>
        <w:t>cr</w:t>
      </w:r>
      <w:proofErr w:type="spellEnd"/>
      <w:proofErr w:type="gramEnd"/>
    </w:p>
    <w:sectPr w:rsidR="00882B74" w:rsidSect="00DB05AD">
      <w:pgSz w:w="11906" w:h="16838" w:code="9"/>
      <w:pgMar w:top="3402" w:right="1701" w:bottom="141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F470C"/>
    <w:multiLevelType w:val="hybridMultilevel"/>
    <w:tmpl w:val="D72647A6"/>
    <w:lvl w:ilvl="0" w:tplc="0C0A0011">
      <w:start w:val="1"/>
      <w:numFmt w:val="decimal"/>
      <w:lvlText w:val="%1)"/>
      <w:lvlJc w:val="left"/>
      <w:pPr>
        <w:tabs>
          <w:tab w:val="num" w:pos="720"/>
        </w:tabs>
        <w:ind w:left="720" w:hanging="360"/>
      </w:pPr>
      <w:rPr>
        <w:rFonts w:ascii="Times New Roman" w:hAnsi="Times New Roman"/>
      </w:rPr>
    </w:lvl>
    <w:lvl w:ilvl="1" w:tplc="0C0A0019">
      <w:start w:val="1"/>
      <w:numFmt w:val="lowerLetter"/>
      <w:lvlText w:val="%2."/>
      <w:lvlJc w:val="left"/>
      <w:pPr>
        <w:tabs>
          <w:tab w:val="num" w:pos="1440"/>
        </w:tabs>
        <w:ind w:left="1440" w:hanging="360"/>
      </w:pPr>
      <w:rPr>
        <w:rFonts w:ascii="Times New Roman" w:hAnsi="Times New Roman"/>
      </w:rPr>
    </w:lvl>
    <w:lvl w:ilvl="2" w:tplc="0C0A001B">
      <w:start w:val="1"/>
      <w:numFmt w:val="lowerRoman"/>
      <w:lvlText w:val="%3."/>
      <w:lvlJc w:val="right"/>
      <w:pPr>
        <w:tabs>
          <w:tab w:val="num" w:pos="2160"/>
        </w:tabs>
        <w:ind w:left="2160" w:hanging="180"/>
      </w:pPr>
      <w:rPr>
        <w:rFonts w:ascii="Times New Roman" w:hAnsi="Times New Roman"/>
      </w:rPr>
    </w:lvl>
    <w:lvl w:ilvl="3" w:tplc="0C0A000F">
      <w:start w:val="1"/>
      <w:numFmt w:val="decimal"/>
      <w:lvlText w:val="%4."/>
      <w:lvlJc w:val="left"/>
      <w:pPr>
        <w:tabs>
          <w:tab w:val="num" w:pos="2880"/>
        </w:tabs>
        <w:ind w:left="2880" w:hanging="360"/>
      </w:pPr>
      <w:rPr>
        <w:rFonts w:ascii="Times New Roman" w:hAnsi="Times New Roman"/>
      </w:rPr>
    </w:lvl>
    <w:lvl w:ilvl="4" w:tplc="0C0A0019">
      <w:start w:val="1"/>
      <w:numFmt w:val="lowerLetter"/>
      <w:lvlText w:val="%5."/>
      <w:lvlJc w:val="left"/>
      <w:pPr>
        <w:tabs>
          <w:tab w:val="num" w:pos="3600"/>
        </w:tabs>
        <w:ind w:left="3600" w:hanging="360"/>
      </w:pPr>
      <w:rPr>
        <w:rFonts w:ascii="Times New Roman" w:hAnsi="Times New Roman"/>
      </w:rPr>
    </w:lvl>
    <w:lvl w:ilvl="5" w:tplc="0C0A001B">
      <w:start w:val="1"/>
      <w:numFmt w:val="lowerRoman"/>
      <w:lvlText w:val="%6."/>
      <w:lvlJc w:val="right"/>
      <w:pPr>
        <w:tabs>
          <w:tab w:val="num" w:pos="4320"/>
        </w:tabs>
        <w:ind w:left="4320" w:hanging="180"/>
      </w:pPr>
      <w:rPr>
        <w:rFonts w:ascii="Times New Roman" w:hAnsi="Times New Roman"/>
      </w:rPr>
    </w:lvl>
    <w:lvl w:ilvl="6" w:tplc="0C0A000F">
      <w:start w:val="1"/>
      <w:numFmt w:val="decimal"/>
      <w:lvlText w:val="%7."/>
      <w:lvlJc w:val="left"/>
      <w:pPr>
        <w:tabs>
          <w:tab w:val="num" w:pos="5040"/>
        </w:tabs>
        <w:ind w:left="5040" w:hanging="360"/>
      </w:pPr>
      <w:rPr>
        <w:rFonts w:ascii="Times New Roman" w:hAnsi="Times New Roman"/>
      </w:rPr>
    </w:lvl>
    <w:lvl w:ilvl="7" w:tplc="0C0A0019">
      <w:start w:val="1"/>
      <w:numFmt w:val="lowerLetter"/>
      <w:lvlText w:val="%8."/>
      <w:lvlJc w:val="left"/>
      <w:pPr>
        <w:tabs>
          <w:tab w:val="num" w:pos="5760"/>
        </w:tabs>
        <w:ind w:left="5760" w:hanging="360"/>
      </w:pPr>
      <w:rPr>
        <w:rFonts w:ascii="Times New Roman" w:hAnsi="Times New Roman"/>
      </w:rPr>
    </w:lvl>
    <w:lvl w:ilvl="8" w:tplc="0C0A001B">
      <w:start w:val="1"/>
      <w:numFmt w:val="lowerRoman"/>
      <w:lvlText w:val="%9."/>
      <w:lvlJc w:val="right"/>
      <w:pPr>
        <w:tabs>
          <w:tab w:val="num" w:pos="6480"/>
        </w:tabs>
        <w:ind w:left="6480" w:hanging="180"/>
      </w:pPr>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4BC"/>
    <w:rsid w:val="00226C91"/>
    <w:rsid w:val="006B569E"/>
    <w:rsid w:val="00723CC3"/>
    <w:rsid w:val="00882B74"/>
    <w:rsid w:val="008F24BC"/>
    <w:rsid w:val="00DB0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1">
    <w:name w:val="heading 1"/>
    <w:basedOn w:val="Normal"/>
    <w:next w:val="Normal"/>
    <w:link w:val="Ttulo1Car"/>
    <w:uiPriority w:val="99"/>
    <w:qFormat/>
    <w:pPr>
      <w:keepNext/>
      <w:spacing w:line="360" w:lineRule="auto"/>
      <w:jc w:val="center"/>
      <w:outlineLvl w:val="0"/>
    </w:pPr>
    <w:rPr>
      <w:b/>
      <w:bCs/>
    </w:rPr>
  </w:style>
  <w:style w:type="paragraph" w:styleId="Ttulo2">
    <w:name w:val="heading 2"/>
    <w:basedOn w:val="Normal"/>
    <w:next w:val="Normal"/>
    <w:link w:val="Ttulo2Car"/>
    <w:uiPriority w:val="99"/>
    <w:qFormat/>
    <w:pPr>
      <w:keepNext/>
      <w:spacing w:line="360" w:lineRule="auto"/>
      <w:ind w:firstLine="708"/>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hAnsi="Arial" w:cs="Arial"/>
      <w:b/>
      <w:bCs/>
      <w:sz w:val="24"/>
      <w:szCs w:val="24"/>
      <w:lang w:eastAsia="es-ES"/>
    </w:rPr>
  </w:style>
  <w:style w:type="character" w:customStyle="1" w:styleId="Ttulo2Car">
    <w:name w:val="Título 2 Car"/>
    <w:basedOn w:val="Fuentedeprrafopredeter"/>
    <w:link w:val="Ttulo2"/>
    <w:uiPriority w:val="99"/>
    <w:rPr>
      <w:rFonts w:ascii="Arial" w:hAnsi="Arial" w:cs="Arial"/>
      <w:b/>
      <w:bCs/>
      <w:sz w:val="20"/>
      <w:szCs w:val="20"/>
      <w:lang w:eastAsia="es-ES"/>
    </w:rPr>
  </w:style>
  <w:style w:type="paragraph" w:styleId="Encabezado">
    <w:name w:val="header"/>
    <w:basedOn w:val="Normal"/>
    <w:link w:val="EncabezadoCar"/>
    <w:uiPriority w:val="99"/>
    <w:pPr>
      <w:tabs>
        <w:tab w:val="center" w:pos="4252"/>
        <w:tab w:val="right" w:pos="8504"/>
      </w:tabs>
    </w:pPr>
    <w:rPr>
      <w:rFonts w:cstheme="minorBidi"/>
    </w:rPr>
  </w:style>
  <w:style w:type="character" w:customStyle="1" w:styleId="EncabezadoCar">
    <w:name w:val="Encabezado Car"/>
    <w:basedOn w:val="Fuentedeprrafopredeter"/>
    <w:link w:val="Encabezado"/>
    <w:uiPriority w:val="99"/>
    <w:rPr>
      <w:rFonts w:ascii="Times New Roman" w:hAnsi="Times New Roman" w:cs="Times New Roman"/>
      <w:sz w:val="20"/>
      <w:szCs w:val="20"/>
      <w:lang w:eastAsia="es-ES"/>
    </w:rPr>
  </w:style>
  <w:style w:type="paragraph" w:styleId="Textoindependiente">
    <w:name w:val="Body Text"/>
    <w:basedOn w:val="Normal"/>
    <w:link w:val="TextoindependienteCar"/>
    <w:uiPriority w:val="99"/>
    <w:pPr>
      <w:spacing w:line="360" w:lineRule="auto"/>
      <w:jc w:val="both"/>
    </w:pPr>
  </w:style>
  <w:style w:type="character" w:customStyle="1" w:styleId="TextoindependienteCar">
    <w:name w:val="Texto independiente Car"/>
    <w:basedOn w:val="Fuentedeprrafopredeter"/>
    <w:link w:val="Textoindependiente"/>
    <w:uiPriority w:val="99"/>
    <w:rPr>
      <w:rFonts w:ascii="Arial" w:hAnsi="Arial" w:cs="Arial"/>
      <w:sz w:val="24"/>
      <w:szCs w:val="24"/>
      <w:lang w:eastAsia="es-ES"/>
    </w:rPr>
  </w:style>
  <w:style w:type="paragraph" w:styleId="Textodeglobo">
    <w:name w:val="Balloon Text"/>
    <w:basedOn w:val="Normal"/>
    <w:link w:val="TextodegloboCar"/>
    <w:uiPriority w:val="99"/>
    <w:semiHidden/>
    <w:unhideWhenUsed/>
    <w:rsid w:val="00226C91"/>
    <w:rPr>
      <w:rFonts w:ascii="Tahoma" w:hAnsi="Tahoma" w:cs="Tahoma"/>
      <w:sz w:val="16"/>
      <w:szCs w:val="16"/>
    </w:rPr>
  </w:style>
  <w:style w:type="character" w:customStyle="1" w:styleId="TextodegloboCar">
    <w:name w:val="Texto de globo Car"/>
    <w:basedOn w:val="Fuentedeprrafopredeter"/>
    <w:link w:val="Textodeglobo"/>
    <w:uiPriority w:val="99"/>
    <w:semiHidden/>
    <w:rsid w:val="00226C91"/>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1">
    <w:name w:val="heading 1"/>
    <w:basedOn w:val="Normal"/>
    <w:next w:val="Normal"/>
    <w:link w:val="Ttulo1Car"/>
    <w:uiPriority w:val="99"/>
    <w:qFormat/>
    <w:pPr>
      <w:keepNext/>
      <w:spacing w:line="360" w:lineRule="auto"/>
      <w:jc w:val="center"/>
      <w:outlineLvl w:val="0"/>
    </w:pPr>
    <w:rPr>
      <w:b/>
      <w:bCs/>
    </w:rPr>
  </w:style>
  <w:style w:type="paragraph" w:styleId="Ttulo2">
    <w:name w:val="heading 2"/>
    <w:basedOn w:val="Normal"/>
    <w:next w:val="Normal"/>
    <w:link w:val="Ttulo2Car"/>
    <w:uiPriority w:val="99"/>
    <w:qFormat/>
    <w:pPr>
      <w:keepNext/>
      <w:spacing w:line="360" w:lineRule="auto"/>
      <w:ind w:firstLine="708"/>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hAnsi="Arial" w:cs="Arial"/>
      <w:b/>
      <w:bCs/>
      <w:sz w:val="24"/>
      <w:szCs w:val="24"/>
      <w:lang w:eastAsia="es-ES"/>
    </w:rPr>
  </w:style>
  <w:style w:type="character" w:customStyle="1" w:styleId="Ttulo2Car">
    <w:name w:val="Título 2 Car"/>
    <w:basedOn w:val="Fuentedeprrafopredeter"/>
    <w:link w:val="Ttulo2"/>
    <w:uiPriority w:val="99"/>
    <w:rPr>
      <w:rFonts w:ascii="Arial" w:hAnsi="Arial" w:cs="Arial"/>
      <w:b/>
      <w:bCs/>
      <w:sz w:val="20"/>
      <w:szCs w:val="20"/>
      <w:lang w:eastAsia="es-ES"/>
    </w:rPr>
  </w:style>
  <w:style w:type="paragraph" w:styleId="Encabezado">
    <w:name w:val="header"/>
    <w:basedOn w:val="Normal"/>
    <w:link w:val="EncabezadoCar"/>
    <w:uiPriority w:val="99"/>
    <w:pPr>
      <w:tabs>
        <w:tab w:val="center" w:pos="4252"/>
        <w:tab w:val="right" w:pos="8504"/>
      </w:tabs>
    </w:pPr>
    <w:rPr>
      <w:rFonts w:cstheme="minorBidi"/>
    </w:rPr>
  </w:style>
  <w:style w:type="character" w:customStyle="1" w:styleId="EncabezadoCar">
    <w:name w:val="Encabezado Car"/>
    <w:basedOn w:val="Fuentedeprrafopredeter"/>
    <w:link w:val="Encabezado"/>
    <w:uiPriority w:val="99"/>
    <w:rPr>
      <w:rFonts w:ascii="Times New Roman" w:hAnsi="Times New Roman" w:cs="Times New Roman"/>
      <w:sz w:val="20"/>
      <w:szCs w:val="20"/>
      <w:lang w:eastAsia="es-ES"/>
    </w:rPr>
  </w:style>
  <w:style w:type="paragraph" w:styleId="Textoindependiente">
    <w:name w:val="Body Text"/>
    <w:basedOn w:val="Normal"/>
    <w:link w:val="TextoindependienteCar"/>
    <w:uiPriority w:val="99"/>
    <w:pPr>
      <w:spacing w:line="360" w:lineRule="auto"/>
      <w:jc w:val="both"/>
    </w:pPr>
  </w:style>
  <w:style w:type="character" w:customStyle="1" w:styleId="TextoindependienteCar">
    <w:name w:val="Texto independiente Car"/>
    <w:basedOn w:val="Fuentedeprrafopredeter"/>
    <w:link w:val="Textoindependiente"/>
    <w:uiPriority w:val="99"/>
    <w:rPr>
      <w:rFonts w:ascii="Arial" w:hAnsi="Arial" w:cs="Arial"/>
      <w:sz w:val="24"/>
      <w:szCs w:val="24"/>
      <w:lang w:eastAsia="es-ES"/>
    </w:rPr>
  </w:style>
  <w:style w:type="paragraph" w:styleId="Textodeglobo">
    <w:name w:val="Balloon Text"/>
    <w:basedOn w:val="Normal"/>
    <w:link w:val="TextodegloboCar"/>
    <w:uiPriority w:val="99"/>
    <w:semiHidden/>
    <w:unhideWhenUsed/>
    <w:rsid w:val="00226C91"/>
    <w:rPr>
      <w:rFonts w:ascii="Tahoma" w:hAnsi="Tahoma" w:cs="Tahoma"/>
      <w:sz w:val="16"/>
      <w:szCs w:val="16"/>
    </w:rPr>
  </w:style>
  <w:style w:type="character" w:customStyle="1" w:styleId="TextodegloboCar">
    <w:name w:val="Texto de globo Car"/>
    <w:basedOn w:val="Fuentedeprrafopredeter"/>
    <w:link w:val="Textodeglobo"/>
    <w:uiPriority w:val="99"/>
    <w:semiHidden/>
    <w:rsid w:val="00226C91"/>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4183</Characters>
  <Application>Microsoft Office Word</Application>
  <DocSecurity>4</DocSecurity>
  <Lines>34</Lines>
  <Paragraphs>9</Paragraphs>
  <ScaleCrop>false</ScaleCrop>
  <HeadingPairs>
    <vt:vector size="2" baseType="variant">
      <vt:variant>
        <vt:lpstr>Título</vt:lpstr>
      </vt:variant>
      <vt:variant>
        <vt:i4>1</vt:i4>
      </vt:variant>
    </vt:vector>
  </HeadingPairs>
  <TitlesOfParts>
    <vt:vector size="1" baseType="lpstr">
      <vt:lpstr>CARPETA N° 2014-17-1-0005586</vt:lpstr>
    </vt:vector>
  </TitlesOfParts>
  <Company>Tribunal de Cuentas</Company>
  <LinksUpToDate>false</LinksUpToDate>
  <CharactersWithSpaces>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2014-17-1-0005586</dc:title>
  <dc:subject/>
  <dc:creator>PABLO ZAK GODOY</dc:creator>
  <cp:keywords/>
  <dc:description/>
  <cp:lastModifiedBy>Miriam Cristina Rivero</cp:lastModifiedBy>
  <cp:revision>2</cp:revision>
  <cp:lastPrinted>2014-12-09T13:28:00Z</cp:lastPrinted>
  <dcterms:created xsi:type="dcterms:W3CDTF">2014-12-09T13:29:00Z</dcterms:created>
  <dcterms:modified xsi:type="dcterms:W3CDTF">2014-12-09T13:29:00Z</dcterms:modified>
</cp:coreProperties>
</file>