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460" w:rsidRDefault="00B21460">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B21460" w:rsidRDefault="00B21460">
      <w:pPr>
        <w:tabs>
          <w:tab w:val="left" w:pos="-720"/>
        </w:tabs>
        <w:suppressAutoHyphens/>
        <w:jc w:val="center"/>
        <w:rPr>
          <w:rFonts w:ascii="Helvetica" w:hAnsi="Helvetica"/>
          <w:b/>
          <w:lang w:val="es-ES_tradnl"/>
        </w:rPr>
      </w:pPr>
    </w:p>
    <w:p w:rsidR="00B21460" w:rsidRDefault="00B21460">
      <w:pPr>
        <w:tabs>
          <w:tab w:val="center" w:pos="4253"/>
        </w:tabs>
        <w:suppressAutoHyphens/>
        <w:jc w:val="center"/>
        <w:rPr>
          <w:rFonts w:ascii="Helvetica" w:hAnsi="Helvetica"/>
          <w:b/>
          <w:lang w:val="es-ES_tradnl"/>
        </w:rPr>
      </w:pPr>
      <w:r>
        <w:rPr>
          <w:rFonts w:ascii="Helvetica" w:hAnsi="Helvetica"/>
          <w:b/>
          <w:lang w:val="es-ES_tradnl"/>
        </w:rPr>
        <w:t>TRIBUNAL DE CUENTAS</w:t>
      </w:r>
    </w:p>
    <w:p w:rsidR="00B21460" w:rsidRDefault="00B21460">
      <w:pPr>
        <w:tabs>
          <w:tab w:val="left" w:pos="-720"/>
        </w:tabs>
        <w:suppressAutoHyphens/>
        <w:jc w:val="center"/>
        <w:rPr>
          <w:rFonts w:ascii="Helvetica" w:hAnsi="Helvetica"/>
          <w:b/>
          <w:lang w:val="es-ES_tradnl"/>
        </w:rPr>
      </w:pPr>
    </w:p>
    <w:p w:rsidR="00B21460" w:rsidRDefault="00B21460">
      <w:pPr>
        <w:tabs>
          <w:tab w:val="center" w:pos="4253"/>
        </w:tabs>
        <w:suppressAutoHyphens/>
        <w:jc w:val="center"/>
        <w:rPr>
          <w:rFonts w:ascii="Helvetica" w:hAnsi="Helvetica"/>
          <w:b/>
          <w:lang w:val="es-ES_tradnl"/>
        </w:rPr>
      </w:pPr>
      <w:r>
        <w:rPr>
          <w:rFonts w:ascii="Helvetica" w:hAnsi="Helvetica"/>
          <w:b/>
          <w:lang w:val="es-ES_tradnl"/>
        </w:rPr>
        <w:t>EN SESION DE FECHA 3 DE DICIEM</w:t>
      </w:r>
      <w:r w:rsidR="00DA7557">
        <w:rPr>
          <w:rFonts w:ascii="Helvetica" w:hAnsi="Helvetica"/>
          <w:b/>
          <w:lang w:val="es-ES_tradnl"/>
        </w:rPr>
        <w:t>B</w:t>
      </w:r>
      <w:r>
        <w:rPr>
          <w:rFonts w:ascii="Helvetica" w:hAnsi="Helvetica"/>
          <w:b/>
          <w:lang w:val="es-ES_tradnl"/>
        </w:rPr>
        <w:t>RE DE 2014</w:t>
      </w:r>
    </w:p>
    <w:p w:rsidR="00B21460" w:rsidRDefault="00B21460">
      <w:pPr>
        <w:tabs>
          <w:tab w:val="center" w:pos="4253"/>
        </w:tabs>
        <w:suppressAutoHyphens/>
        <w:jc w:val="center"/>
        <w:rPr>
          <w:rFonts w:ascii="Helvetica" w:hAnsi="Helvetica"/>
          <w:b/>
          <w:lang w:val="es-ES_tradnl"/>
        </w:rPr>
      </w:pPr>
    </w:p>
    <w:p w:rsidR="00B21460" w:rsidRPr="00DA7557" w:rsidRDefault="00B21460">
      <w:pPr>
        <w:tabs>
          <w:tab w:val="center" w:pos="4253"/>
        </w:tabs>
        <w:suppressAutoHyphens/>
        <w:jc w:val="center"/>
        <w:rPr>
          <w:rFonts w:ascii="Helvetica" w:hAnsi="Helvetica"/>
          <w:b/>
          <w:lang w:val="es-UY"/>
        </w:rPr>
      </w:pPr>
      <w:r w:rsidRPr="00DA7557">
        <w:rPr>
          <w:rFonts w:ascii="Helvetica" w:hAnsi="Helvetica"/>
          <w:b/>
          <w:lang w:val="es-UY"/>
        </w:rPr>
        <w:t xml:space="preserve">(E. E. Nº 2014-17-1-0008469, </w:t>
      </w:r>
      <w:proofErr w:type="spellStart"/>
      <w:r w:rsidRPr="00DA7557">
        <w:rPr>
          <w:rFonts w:ascii="Helvetica" w:hAnsi="Helvetica"/>
          <w:b/>
          <w:lang w:val="es-UY"/>
        </w:rPr>
        <w:t>Ent</w:t>
      </w:r>
      <w:proofErr w:type="spellEnd"/>
      <w:r w:rsidRPr="00DA7557">
        <w:rPr>
          <w:rFonts w:ascii="Helvetica" w:hAnsi="Helvetica"/>
          <w:b/>
          <w:lang w:val="es-UY"/>
        </w:rPr>
        <w:t>. N° 6704/14)</w:t>
      </w:r>
    </w:p>
    <w:p w:rsidR="00B21460" w:rsidRDefault="00B21460">
      <w:pPr>
        <w:tabs>
          <w:tab w:val="center" w:pos="4253"/>
        </w:tabs>
        <w:suppressAutoHyphens/>
        <w:jc w:val="center"/>
        <w:rPr>
          <w:spacing w:val="-3"/>
          <w:lang w:val="es-UY"/>
        </w:rPr>
      </w:pPr>
    </w:p>
    <w:p w:rsidR="00C3313D" w:rsidRPr="00DA7557" w:rsidRDefault="00C3313D">
      <w:pPr>
        <w:tabs>
          <w:tab w:val="center" w:pos="4253"/>
        </w:tabs>
        <w:suppressAutoHyphens/>
        <w:jc w:val="center"/>
        <w:rPr>
          <w:spacing w:val="-3"/>
          <w:lang w:val="es-UY"/>
        </w:rPr>
      </w:pPr>
    </w:p>
    <w:p w:rsidR="00B21460" w:rsidRPr="00DA7557" w:rsidRDefault="00B21460">
      <w:pPr>
        <w:tabs>
          <w:tab w:val="center" w:pos="4253"/>
        </w:tabs>
        <w:suppressAutoHyphens/>
        <w:rPr>
          <w:spacing w:val="-3"/>
          <w:lang w:val="es-UY"/>
        </w:rPr>
      </w:pPr>
    </w:p>
    <w:p w:rsidR="008E4AD8" w:rsidRDefault="008E4AD8" w:rsidP="006F45D7">
      <w:pPr>
        <w:suppressAutoHyphens/>
        <w:spacing w:line="360" w:lineRule="auto"/>
        <w:ind w:firstLine="851"/>
        <w:jc w:val="both"/>
      </w:pPr>
      <w:r>
        <w:rPr>
          <w:b/>
          <w:bCs/>
        </w:rPr>
        <w:t>VISTO:</w:t>
      </w:r>
      <w:r>
        <w:t xml:space="preserve"> el </w:t>
      </w:r>
      <w:r w:rsidR="00B21460">
        <w:t>O</w:t>
      </w:r>
      <w:r>
        <w:t>ficio Nº 395/14 de 5 de noviembre de 2014 remitido por la Junta Departamental de Rocha;</w:t>
      </w:r>
    </w:p>
    <w:p w:rsidR="008E4AD8" w:rsidRDefault="008E4AD8" w:rsidP="006F45D7">
      <w:pPr>
        <w:suppressAutoHyphens/>
        <w:spacing w:line="360" w:lineRule="auto"/>
        <w:ind w:firstLine="851"/>
        <w:jc w:val="both"/>
      </w:pPr>
      <w:r>
        <w:rPr>
          <w:b/>
          <w:bCs/>
        </w:rPr>
        <w:t xml:space="preserve">RESULTANDO: </w:t>
      </w:r>
      <w:r>
        <w:t xml:space="preserve">que por dicho </w:t>
      </w:r>
      <w:r w:rsidR="00B21460">
        <w:t>O</w:t>
      </w:r>
      <w:r>
        <w:t>ficio se solicita el informe de este Tribunal con relación a la contratación de una línea de crédito con el BROU;</w:t>
      </w:r>
    </w:p>
    <w:p w:rsidR="008E4AD8" w:rsidRDefault="008E4AD8" w:rsidP="006F45D7">
      <w:pPr>
        <w:suppressAutoHyphens/>
        <w:spacing w:line="360" w:lineRule="auto"/>
        <w:ind w:firstLine="851"/>
        <w:jc w:val="both"/>
      </w:pPr>
      <w:r>
        <w:rPr>
          <w:b/>
          <w:bCs/>
        </w:rPr>
        <w:t xml:space="preserve">CONSIDERANDO: </w:t>
      </w:r>
      <w:r>
        <w:t xml:space="preserve">que de acuerdo a lo dispuesto por el </w:t>
      </w:r>
      <w:r w:rsidR="00B21460">
        <w:t>A</w:t>
      </w:r>
      <w:r>
        <w:t>rtículo 301 de la Constitución de la República, los Gobiernos Departamentales, para contratar préstamos, deben recabar el informe previo del Tribunal de Cuentas;</w:t>
      </w:r>
    </w:p>
    <w:p w:rsidR="008E4AD8" w:rsidRDefault="008E4AD8" w:rsidP="006F45D7">
      <w:pPr>
        <w:suppressAutoHyphens/>
        <w:spacing w:line="360" w:lineRule="auto"/>
        <w:ind w:firstLine="851"/>
        <w:jc w:val="both"/>
      </w:pPr>
      <w:r>
        <w:rPr>
          <w:b/>
          <w:bCs/>
        </w:rPr>
        <w:t xml:space="preserve">ATENTO: </w:t>
      </w:r>
      <w:r>
        <w:t>a lo expuesto precedentemente;</w:t>
      </w:r>
    </w:p>
    <w:p w:rsidR="008E4AD8" w:rsidRDefault="008E4AD8">
      <w:pPr>
        <w:pStyle w:val="Ttulo2"/>
      </w:pPr>
      <w:r>
        <w:t>EL TRIBUNAL ACUERDA</w:t>
      </w:r>
    </w:p>
    <w:p w:rsidR="008E4AD8" w:rsidRDefault="008E4AD8">
      <w:pPr>
        <w:suppressAutoHyphens/>
        <w:spacing w:line="360" w:lineRule="auto"/>
        <w:jc w:val="both"/>
      </w:pPr>
      <w:r w:rsidRPr="00B21460">
        <w:rPr>
          <w:b/>
        </w:rPr>
        <w:t>1)</w:t>
      </w:r>
      <w:r>
        <w:t xml:space="preserve"> </w:t>
      </w:r>
      <w:proofErr w:type="spellStart"/>
      <w:r>
        <w:t>Aprúebase</w:t>
      </w:r>
      <w:proofErr w:type="spellEnd"/>
      <w:r>
        <w:t xml:space="preserve"> el informe que se adjunta</w:t>
      </w:r>
      <w:r w:rsidR="00B21460">
        <w:t>; y</w:t>
      </w:r>
    </w:p>
    <w:p w:rsidR="008E4AD8" w:rsidRDefault="008E4AD8">
      <w:pPr>
        <w:suppressAutoHyphens/>
        <w:spacing w:line="360" w:lineRule="auto"/>
        <w:jc w:val="both"/>
      </w:pPr>
      <w:r w:rsidRPr="00B21460">
        <w:rPr>
          <w:b/>
        </w:rPr>
        <w:t>2)</w:t>
      </w:r>
      <w:r>
        <w:t xml:space="preserve"> Comunicar a la Junta Departamental y a la Intendencia de Rocha.</w:t>
      </w:r>
    </w:p>
    <w:p w:rsidR="006F45D7" w:rsidRDefault="006F45D7">
      <w:pPr>
        <w:spacing w:line="360" w:lineRule="auto"/>
        <w:jc w:val="right"/>
        <w:rPr>
          <w:b/>
          <w:lang w:val="es-MX"/>
        </w:rPr>
      </w:pPr>
    </w:p>
    <w:p w:rsidR="00C3313D" w:rsidRDefault="00C3313D">
      <w:pPr>
        <w:spacing w:line="360" w:lineRule="auto"/>
        <w:jc w:val="right"/>
        <w:rPr>
          <w:b/>
          <w:lang w:val="es-MX"/>
        </w:rPr>
      </w:pPr>
    </w:p>
    <w:p w:rsidR="00C3313D" w:rsidRDefault="00C3313D">
      <w:pPr>
        <w:spacing w:line="360" w:lineRule="auto"/>
        <w:jc w:val="right"/>
        <w:rPr>
          <w:b/>
          <w:lang w:val="es-MX"/>
        </w:rPr>
      </w:pPr>
    </w:p>
    <w:p w:rsidR="00C3313D" w:rsidRDefault="00C3313D">
      <w:pPr>
        <w:spacing w:line="360" w:lineRule="auto"/>
        <w:jc w:val="right"/>
        <w:rPr>
          <w:b/>
          <w:lang w:val="es-MX"/>
        </w:rPr>
      </w:pPr>
    </w:p>
    <w:p w:rsidR="00C3313D" w:rsidRDefault="00C3313D">
      <w:pPr>
        <w:spacing w:line="360" w:lineRule="auto"/>
        <w:jc w:val="right"/>
        <w:rPr>
          <w:b/>
          <w:lang w:val="es-MX"/>
        </w:rPr>
      </w:pPr>
    </w:p>
    <w:p w:rsidR="00C3313D" w:rsidRDefault="00C3313D">
      <w:pPr>
        <w:spacing w:line="360" w:lineRule="auto"/>
        <w:jc w:val="right"/>
        <w:rPr>
          <w:b/>
          <w:lang w:val="es-MX"/>
        </w:rPr>
      </w:pPr>
    </w:p>
    <w:p w:rsidR="00C3313D" w:rsidRDefault="00C3313D">
      <w:pPr>
        <w:spacing w:line="360" w:lineRule="auto"/>
        <w:jc w:val="right"/>
        <w:rPr>
          <w:b/>
          <w:lang w:val="es-MX"/>
        </w:rPr>
      </w:pPr>
    </w:p>
    <w:p w:rsidR="00C3313D" w:rsidRDefault="00C3313D">
      <w:pPr>
        <w:spacing w:line="360" w:lineRule="auto"/>
        <w:jc w:val="right"/>
        <w:rPr>
          <w:b/>
          <w:lang w:val="es-MX"/>
        </w:rPr>
      </w:pPr>
    </w:p>
    <w:p w:rsidR="00C3313D" w:rsidRDefault="00C3313D">
      <w:pPr>
        <w:spacing w:line="360" w:lineRule="auto"/>
        <w:jc w:val="right"/>
        <w:rPr>
          <w:b/>
          <w:lang w:val="es-MX"/>
        </w:rPr>
      </w:pPr>
    </w:p>
    <w:p w:rsidR="00C3313D" w:rsidRDefault="00C3313D">
      <w:pPr>
        <w:spacing w:line="360" w:lineRule="auto"/>
        <w:jc w:val="right"/>
        <w:rPr>
          <w:b/>
          <w:lang w:val="es-MX"/>
        </w:rPr>
      </w:pPr>
    </w:p>
    <w:p w:rsidR="00C3313D" w:rsidRDefault="00C3313D">
      <w:pPr>
        <w:spacing w:line="360" w:lineRule="auto"/>
        <w:jc w:val="right"/>
        <w:rPr>
          <w:b/>
          <w:lang w:val="es-MX"/>
        </w:rPr>
      </w:pPr>
    </w:p>
    <w:p w:rsidR="006F45D7" w:rsidRPr="006F45D7" w:rsidRDefault="006F45D7">
      <w:pPr>
        <w:pStyle w:val="Ttulo1"/>
        <w:rPr>
          <w:rFonts w:ascii="Arial" w:hAnsi="Arial" w:cs="Arial"/>
          <w:sz w:val="24"/>
          <w:szCs w:val="24"/>
        </w:rPr>
      </w:pPr>
      <w:r w:rsidRPr="006F45D7">
        <w:rPr>
          <w:rFonts w:ascii="Arial" w:hAnsi="Arial" w:cs="Arial"/>
          <w:sz w:val="24"/>
          <w:szCs w:val="24"/>
        </w:rPr>
        <w:t>INFORME</w:t>
      </w:r>
    </w:p>
    <w:p w:rsidR="006F45D7" w:rsidRDefault="006F45D7">
      <w:pPr>
        <w:spacing w:line="360" w:lineRule="auto"/>
        <w:rPr>
          <w:lang w:val="es-MX"/>
        </w:rPr>
      </w:pPr>
    </w:p>
    <w:p w:rsidR="006F45D7" w:rsidRDefault="006F45D7">
      <w:pPr>
        <w:spacing w:line="360" w:lineRule="auto"/>
        <w:jc w:val="both"/>
      </w:pPr>
      <w:r>
        <w:rPr>
          <w:lang w:val="es-MX"/>
        </w:rPr>
        <w:tab/>
        <w:t>Remito a usted el Informe relacionado con la contratación de un préstamo</w:t>
      </w:r>
      <w:r>
        <w:t>, que aprobara el Tribunal de Cuentas en Sesión de fecha 3 de diciembre de 2014.</w:t>
      </w:r>
    </w:p>
    <w:p w:rsidR="00C3313D" w:rsidRDefault="00C3313D">
      <w:pPr>
        <w:spacing w:line="360" w:lineRule="auto"/>
        <w:jc w:val="both"/>
      </w:pPr>
    </w:p>
    <w:p w:rsidR="006F45D7" w:rsidRDefault="006F45D7">
      <w:pPr>
        <w:spacing w:line="360" w:lineRule="auto"/>
        <w:jc w:val="both"/>
        <w:rPr>
          <w:b/>
          <w:bCs/>
        </w:rPr>
      </w:pPr>
      <w:r>
        <w:rPr>
          <w:b/>
          <w:bCs/>
        </w:rPr>
        <w:t>1. OBJETO</w:t>
      </w:r>
    </w:p>
    <w:p w:rsidR="006F45D7" w:rsidRDefault="006F45D7">
      <w:pPr>
        <w:pStyle w:val="Textoindependiente"/>
        <w:rPr>
          <w:rFonts w:ascii="Arial" w:hAnsi="Arial" w:cs="Arial"/>
          <w:szCs w:val="24"/>
        </w:rPr>
      </w:pPr>
      <w:r>
        <w:rPr>
          <w:rFonts w:ascii="Arial" w:hAnsi="Arial" w:cs="Arial"/>
          <w:b/>
          <w:bCs/>
          <w:szCs w:val="24"/>
        </w:rPr>
        <w:t xml:space="preserve"> </w:t>
      </w:r>
      <w:r>
        <w:rPr>
          <w:rFonts w:ascii="Arial" w:hAnsi="Arial" w:cs="Arial"/>
          <w:szCs w:val="24"/>
        </w:rPr>
        <w:t>La Junta Departamental de Rocha por Oficio Nº 395/14 de fecha 05.11.14, solicita informe previo a este Tribunal, de acuerdo con lo prescripto por el Artículo 301 Inciso 2º de la Constitución de la República, relativo a la contratación de una línea de crédito con el Banco de la República Oriental del Uruguay (BROU) por  hasta $ 12:000.000.</w:t>
      </w:r>
    </w:p>
    <w:p w:rsidR="00C3313D" w:rsidRDefault="00C3313D">
      <w:pPr>
        <w:pStyle w:val="Textoindependiente"/>
        <w:rPr>
          <w:rFonts w:ascii="Arial" w:hAnsi="Arial" w:cs="Arial"/>
          <w:szCs w:val="24"/>
        </w:rPr>
      </w:pPr>
    </w:p>
    <w:p w:rsidR="006F45D7" w:rsidRDefault="006F45D7">
      <w:pPr>
        <w:spacing w:line="360" w:lineRule="auto"/>
        <w:jc w:val="both"/>
        <w:rPr>
          <w:b/>
          <w:bCs/>
          <w:lang w:val="es-MX"/>
        </w:rPr>
      </w:pPr>
      <w:r>
        <w:rPr>
          <w:b/>
          <w:bCs/>
          <w:lang w:val="es-MX"/>
        </w:rPr>
        <w:lastRenderedPageBreak/>
        <w:t>2. RESULTANCIAS DEL TRÁMITE</w:t>
      </w:r>
    </w:p>
    <w:p w:rsidR="00C3313D" w:rsidRDefault="00C3313D">
      <w:pPr>
        <w:spacing w:line="360" w:lineRule="auto"/>
        <w:jc w:val="both"/>
        <w:rPr>
          <w:b/>
          <w:bCs/>
          <w:lang w:val="es-MX"/>
        </w:rPr>
      </w:pPr>
    </w:p>
    <w:p w:rsidR="006F45D7" w:rsidRDefault="006F45D7">
      <w:pPr>
        <w:spacing w:line="360" w:lineRule="auto"/>
        <w:jc w:val="both"/>
        <w:rPr>
          <w:lang w:val="es-MX"/>
        </w:rPr>
      </w:pPr>
      <w:r>
        <w:rPr>
          <w:b/>
          <w:bCs/>
          <w:lang w:val="es-MX"/>
        </w:rPr>
        <w:t>2.1</w:t>
      </w:r>
      <w:r>
        <w:rPr>
          <w:b/>
          <w:lang w:val="es-MX"/>
        </w:rPr>
        <w:t>.</w:t>
      </w:r>
      <w:r>
        <w:rPr>
          <w:lang w:val="es-MX"/>
        </w:rPr>
        <w:t xml:space="preserve"> Por Resolución de Directorio del BROU, el día 28.10.14 se habilitó una línea de crédito a la Intendencia en la modalidad de Cuenta Corriente por hasta $ 12:000.000.</w:t>
      </w:r>
    </w:p>
    <w:p w:rsidR="00C3313D" w:rsidRDefault="00C3313D">
      <w:pPr>
        <w:spacing w:line="360" w:lineRule="auto"/>
        <w:jc w:val="both"/>
        <w:rPr>
          <w:lang w:val="es-MX"/>
        </w:rPr>
      </w:pPr>
    </w:p>
    <w:p w:rsidR="006F45D7" w:rsidRDefault="006F45D7">
      <w:pPr>
        <w:spacing w:line="360" w:lineRule="auto"/>
        <w:jc w:val="both"/>
        <w:rPr>
          <w:lang w:val="es-MX"/>
        </w:rPr>
      </w:pPr>
      <w:r>
        <w:rPr>
          <w:b/>
          <w:lang w:val="es-MX"/>
        </w:rPr>
        <w:t xml:space="preserve">2.2. </w:t>
      </w:r>
      <w:r>
        <w:t xml:space="preserve">El Intendente, mediante Resolución Nº 5870/14 de fecha 04.11.14, solicitó  al Legislativo Departamental </w:t>
      </w:r>
      <w:r>
        <w:rPr>
          <w:lang w:val="es-MX"/>
        </w:rPr>
        <w:t xml:space="preserve"> la anuencia prevista por el Artículo 19 Numeral 6) de la Ley Nº 9.515, en virtud del crédito ofrecido por el BROU, para el pago regular del presupuesto, a cancelar dentro del Ejercicio.</w:t>
      </w:r>
    </w:p>
    <w:p w:rsidR="00C3313D" w:rsidRDefault="00C3313D">
      <w:pPr>
        <w:spacing w:line="360" w:lineRule="auto"/>
        <w:jc w:val="both"/>
        <w:rPr>
          <w:lang w:val="es-MX"/>
        </w:rPr>
      </w:pPr>
    </w:p>
    <w:p w:rsidR="006F45D7" w:rsidRDefault="006F45D7">
      <w:pPr>
        <w:spacing w:line="360" w:lineRule="auto"/>
        <w:jc w:val="both"/>
        <w:rPr>
          <w:spacing w:val="-3"/>
        </w:rPr>
      </w:pPr>
      <w:r>
        <w:rPr>
          <w:b/>
          <w:bCs/>
        </w:rPr>
        <w:t>2.3.</w:t>
      </w:r>
      <w:r>
        <w:t xml:space="preserve"> </w:t>
      </w:r>
      <w:r>
        <w:rPr>
          <w:spacing w:val="-3"/>
        </w:rPr>
        <w:t>La Junta Departamental, por Resolución Nº 336/14 de fecha 04.11.14 concedió la anuencia que le solicitara el Ejecutivo, por 19 votos en 25 Ediles, ad referéndum del Tribunal de Cuentas.</w:t>
      </w:r>
    </w:p>
    <w:p w:rsidR="006F45D7" w:rsidRDefault="006F45D7">
      <w:pPr>
        <w:spacing w:line="360" w:lineRule="auto"/>
        <w:jc w:val="both"/>
        <w:rPr>
          <w:spacing w:val="-3"/>
        </w:rPr>
      </w:pPr>
    </w:p>
    <w:p w:rsidR="00C3313D" w:rsidRDefault="00C3313D">
      <w:pPr>
        <w:spacing w:line="360" w:lineRule="auto"/>
        <w:jc w:val="both"/>
        <w:rPr>
          <w:spacing w:val="-3"/>
        </w:rPr>
      </w:pPr>
    </w:p>
    <w:p w:rsidR="006F45D7" w:rsidRDefault="00C3313D">
      <w:pPr>
        <w:spacing w:line="360" w:lineRule="auto"/>
        <w:jc w:val="both"/>
        <w:rPr>
          <w:b/>
          <w:bCs/>
          <w:lang w:val="es-MX"/>
        </w:rPr>
      </w:pPr>
      <w:r>
        <w:rPr>
          <w:b/>
          <w:bCs/>
          <w:lang w:val="es-MX"/>
        </w:rPr>
        <w:t>3. SITUACIÓN FINANCIERA</w:t>
      </w:r>
    </w:p>
    <w:p w:rsidR="006F45D7" w:rsidRDefault="006F45D7">
      <w:pPr>
        <w:spacing w:line="360" w:lineRule="auto"/>
        <w:jc w:val="both"/>
        <w:rPr>
          <w:bCs/>
        </w:rPr>
      </w:pPr>
      <w:r>
        <w:rPr>
          <w:bCs/>
        </w:rPr>
        <w:t>De acuerdo con las Rendiciones de Cuentas formuladas por la Intendencia de Rocha correspondientes a los Ejercicios 2011 a 2013, la misma presenta una situación financiera que se resume de la siguiente forma (expresada en miles de pesos uruguayos):</w:t>
      </w:r>
    </w:p>
    <w:p w:rsidR="00C3313D" w:rsidRDefault="00C3313D">
      <w:pPr>
        <w:spacing w:line="360" w:lineRule="auto"/>
        <w:jc w:val="both"/>
        <w:rPr>
          <w:bCs/>
        </w:rPr>
      </w:pPr>
    </w:p>
    <w:tbl>
      <w:tblPr>
        <w:tblW w:w="7180" w:type="dxa"/>
        <w:jc w:val="center"/>
        <w:tblInd w:w="55" w:type="dxa"/>
        <w:tblCellMar>
          <w:left w:w="70" w:type="dxa"/>
          <w:right w:w="70" w:type="dxa"/>
        </w:tblCellMar>
        <w:tblLook w:val="04A0" w:firstRow="1" w:lastRow="0" w:firstColumn="1" w:lastColumn="0" w:noHBand="0" w:noVBand="1"/>
      </w:tblPr>
      <w:tblGrid>
        <w:gridCol w:w="720"/>
        <w:gridCol w:w="2380"/>
        <w:gridCol w:w="1940"/>
        <w:gridCol w:w="2140"/>
      </w:tblGrid>
      <w:tr w:rsidR="006F45D7" w:rsidTr="006F45D7">
        <w:trPr>
          <w:trHeight w:val="31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6F45D7" w:rsidRDefault="006F45D7">
            <w:pPr>
              <w:rPr>
                <w:b/>
                <w:bCs/>
                <w:color w:val="000000"/>
                <w:lang w:val="es-UY" w:eastAsia="es-UY"/>
              </w:rPr>
            </w:pPr>
            <w:r>
              <w:rPr>
                <w:b/>
                <w:bCs/>
                <w:color w:val="000000"/>
                <w:lang w:val="es-UY" w:eastAsia="es-UY"/>
              </w:rPr>
              <w:t>AÑO</w:t>
            </w:r>
          </w:p>
        </w:tc>
        <w:tc>
          <w:tcPr>
            <w:tcW w:w="2380" w:type="dxa"/>
            <w:tcBorders>
              <w:top w:val="single" w:sz="4" w:space="0" w:color="auto"/>
              <w:left w:val="nil"/>
              <w:bottom w:val="single" w:sz="4" w:space="0" w:color="auto"/>
              <w:right w:val="single" w:sz="4" w:space="0" w:color="auto"/>
            </w:tcBorders>
            <w:noWrap/>
            <w:vAlign w:val="bottom"/>
            <w:hideMark/>
          </w:tcPr>
          <w:p w:rsidR="006F45D7" w:rsidRDefault="006F45D7">
            <w:pPr>
              <w:rPr>
                <w:b/>
                <w:bCs/>
                <w:color w:val="000000"/>
                <w:lang w:val="es-UY" w:eastAsia="es-UY"/>
              </w:rPr>
            </w:pPr>
            <w:r>
              <w:rPr>
                <w:b/>
                <w:bCs/>
                <w:color w:val="000000"/>
                <w:lang w:val="es-UY" w:eastAsia="es-UY"/>
              </w:rPr>
              <w:t>DÉFICIT  ACUM.</w:t>
            </w:r>
          </w:p>
        </w:tc>
        <w:tc>
          <w:tcPr>
            <w:tcW w:w="1940" w:type="dxa"/>
            <w:tcBorders>
              <w:top w:val="single" w:sz="4" w:space="0" w:color="auto"/>
              <w:left w:val="nil"/>
              <w:bottom w:val="single" w:sz="4" w:space="0" w:color="auto"/>
              <w:right w:val="single" w:sz="4" w:space="0" w:color="auto"/>
            </w:tcBorders>
            <w:noWrap/>
            <w:vAlign w:val="bottom"/>
            <w:hideMark/>
          </w:tcPr>
          <w:p w:rsidR="006F45D7" w:rsidRDefault="006F45D7">
            <w:pPr>
              <w:rPr>
                <w:b/>
                <w:bCs/>
                <w:color w:val="000000"/>
                <w:lang w:val="es-UY" w:eastAsia="es-UY"/>
              </w:rPr>
            </w:pPr>
            <w:r>
              <w:rPr>
                <w:b/>
                <w:bCs/>
                <w:color w:val="000000"/>
                <w:lang w:val="es-UY" w:eastAsia="es-UY"/>
              </w:rPr>
              <w:t>RECAUDACIÓN</w:t>
            </w:r>
          </w:p>
        </w:tc>
        <w:tc>
          <w:tcPr>
            <w:tcW w:w="2140" w:type="dxa"/>
            <w:tcBorders>
              <w:top w:val="single" w:sz="4" w:space="0" w:color="auto"/>
              <w:left w:val="nil"/>
              <w:bottom w:val="single" w:sz="4" w:space="0" w:color="auto"/>
              <w:right w:val="single" w:sz="4" w:space="0" w:color="auto"/>
            </w:tcBorders>
            <w:noWrap/>
            <w:vAlign w:val="bottom"/>
            <w:hideMark/>
          </w:tcPr>
          <w:p w:rsidR="006F45D7" w:rsidRDefault="006F45D7">
            <w:pPr>
              <w:rPr>
                <w:b/>
                <w:bCs/>
                <w:color w:val="000000"/>
                <w:lang w:val="es-UY" w:eastAsia="es-UY"/>
              </w:rPr>
            </w:pPr>
            <w:r>
              <w:rPr>
                <w:b/>
                <w:bCs/>
                <w:color w:val="000000"/>
                <w:lang w:val="es-UY" w:eastAsia="es-UY"/>
              </w:rPr>
              <w:t>DÉF.ACUM./REC.</w:t>
            </w:r>
          </w:p>
        </w:tc>
      </w:tr>
      <w:tr w:rsidR="006F45D7" w:rsidTr="006F45D7">
        <w:trPr>
          <w:trHeight w:val="300"/>
          <w:jc w:val="center"/>
        </w:trPr>
        <w:tc>
          <w:tcPr>
            <w:tcW w:w="720" w:type="dxa"/>
            <w:tcBorders>
              <w:top w:val="nil"/>
              <w:left w:val="single" w:sz="4" w:space="0" w:color="auto"/>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2011</w:t>
            </w:r>
          </w:p>
        </w:tc>
        <w:tc>
          <w:tcPr>
            <w:tcW w:w="2380" w:type="dxa"/>
            <w:tcBorders>
              <w:top w:val="nil"/>
              <w:left w:val="nil"/>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 xml:space="preserve">                      473.865 </w:t>
            </w:r>
          </w:p>
        </w:tc>
        <w:tc>
          <w:tcPr>
            <w:tcW w:w="1940" w:type="dxa"/>
            <w:tcBorders>
              <w:top w:val="nil"/>
              <w:left w:val="nil"/>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 xml:space="preserve">  958.000</w:t>
            </w:r>
          </w:p>
        </w:tc>
        <w:tc>
          <w:tcPr>
            <w:tcW w:w="2140" w:type="dxa"/>
            <w:tcBorders>
              <w:top w:val="nil"/>
              <w:left w:val="nil"/>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49,46%</w:t>
            </w:r>
          </w:p>
        </w:tc>
      </w:tr>
      <w:tr w:rsidR="006F45D7" w:rsidTr="006F45D7">
        <w:trPr>
          <w:trHeight w:val="300"/>
          <w:jc w:val="center"/>
        </w:trPr>
        <w:tc>
          <w:tcPr>
            <w:tcW w:w="720" w:type="dxa"/>
            <w:tcBorders>
              <w:top w:val="nil"/>
              <w:left w:val="single" w:sz="4" w:space="0" w:color="auto"/>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2012</w:t>
            </w:r>
          </w:p>
        </w:tc>
        <w:tc>
          <w:tcPr>
            <w:tcW w:w="2380" w:type="dxa"/>
            <w:tcBorders>
              <w:top w:val="nil"/>
              <w:left w:val="nil"/>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 xml:space="preserve">                      432.127 </w:t>
            </w:r>
          </w:p>
        </w:tc>
        <w:tc>
          <w:tcPr>
            <w:tcW w:w="1940" w:type="dxa"/>
            <w:tcBorders>
              <w:top w:val="nil"/>
              <w:left w:val="nil"/>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1.082.915</w:t>
            </w:r>
          </w:p>
        </w:tc>
        <w:tc>
          <w:tcPr>
            <w:tcW w:w="2140" w:type="dxa"/>
            <w:tcBorders>
              <w:top w:val="nil"/>
              <w:left w:val="nil"/>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39,90%</w:t>
            </w:r>
          </w:p>
        </w:tc>
      </w:tr>
      <w:tr w:rsidR="006F45D7" w:rsidTr="006F45D7">
        <w:trPr>
          <w:trHeight w:val="300"/>
          <w:jc w:val="center"/>
        </w:trPr>
        <w:tc>
          <w:tcPr>
            <w:tcW w:w="720" w:type="dxa"/>
            <w:tcBorders>
              <w:top w:val="nil"/>
              <w:left w:val="single" w:sz="4" w:space="0" w:color="auto"/>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2013</w:t>
            </w:r>
          </w:p>
        </w:tc>
        <w:tc>
          <w:tcPr>
            <w:tcW w:w="2380" w:type="dxa"/>
            <w:tcBorders>
              <w:top w:val="nil"/>
              <w:left w:val="nil"/>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 xml:space="preserve">                      429.143 </w:t>
            </w:r>
          </w:p>
        </w:tc>
        <w:tc>
          <w:tcPr>
            <w:tcW w:w="1940" w:type="dxa"/>
            <w:tcBorders>
              <w:top w:val="nil"/>
              <w:left w:val="nil"/>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1.170.242</w:t>
            </w:r>
          </w:p>
        </w:tc>
        <w:tc>
          <w:tcPr>
            <w:tcW w:w="2140" w:type="dxa"/>
            <w:tcBorders>
              <w:top w:val="nil"/>
              <w:left w:val="nil"/>
              <w:bottom w:val="single" w:sz="4" w:space="0" w:color="auto"/>
              <w:right w:val="single" w:sz="4" w:space="0" w:color="auto"/>
            </w:tcBorders>
            <w:noWrap/>
            <w:vAlign w:val="bottom"/>
            <w:hideMark/>
          </w:tcPr>
          <w:p w:rsidR="006F45D7" w:rsidRDefault="006F45D7">
            <w:pPr>
              <w:jc w:val="center"/>
              <w:rPr>
                <w:color w:val="000000"/>
                <w:lang w:val="es-UY" w:eastAsia="es-UY"/>
              </w:rPr>
            </w:pPr>
            <w:r>
              <w:rPr>
                <w:color w:val="000000"/>
                <w:lang w:val="es-UY" w:eastAsia="es-UY"/>
              </w:rPr>
              <w:t>36,67%</w:t>
            </w:r>
          </w:p>
        </w:tc>
      </w:tr>
    </w:tbl>
    <w:p w:rsidR="006F45D7" w:rsidRDefault="006F45D7"/>
    <w:p w:rsidR="006F45D7" w:rsidRDefault="006F45D7">
      <w:pPr>
        <w:pStyle w:val="Textoindependiente"/>
        <w:rPr>
          <w:rFonts w:ascii="Arial" w:hAnsi="Arial" w:cs="Arial"/>
        </w:rPr>
      </w:pPr>
      <w:r>
        <w:rPr>
          <w:rFonts w:ascii="Arial" w:hAnsi="Arial" w:cs="Arial"/>
        </w:rPr>
        <w:t>Cabe destacar que, con relación a las Rendiciones de Cuenta correspondientes a los Ejercicios 2011 y 2012, este Tribunal emitió Dictámenes con opinión adversa, respecto de los estados que brindan la información precedente.</w:t>
      </w:r>
    </w:p>
    <w:p w:rsidR="006F45D7" w:rsidRDefault="006F45D7">
      <w:pPr>
        <w:spacing w:line="360" w:lineRule="auto"/>
        <w:jc w:val="both"/>
      </w:pPr>
      <w:r>
        <w:t>La Rendición de Cuentas correspondiente al Ejercicio 2013 se encuentra a estudio de este Tribunal, a efectos de emitir el Informe de Auditoría respectivo.</w:t>
      </w:r>
    </w:p>
    <w:p w:rsidR="006F45D7" w:rsidRDefault="006F45D7">
      <w:pPr>
        <w:spacing w:line="360" w:lineRule="auto"/>
        <w:jc w:val="both"/>
      </w:pPr>
    </w:p>
    <w:p w:rsidR="006F45D7" w:rsidRDefault="006F45D7">
      <w:pPr>
        <w:spacing w:line="360" w:lineRule="auto"/>
        <w:jc w:val="both"/>
        <w:rPr>
          <w:b/>
          <w:bCs/>
          <w:lang w:val="es-MX"/>
        </w:rPr>
      </w:pPr>
      <w:r>
        <w:rPr>
          <w:b/>
          <w:bCs/>
          <w:lang w:val="es-MX"/>
        </w:rPr>
        <w:t>4. NORMAS Y CRITERIOS APLICABLES</w:t>
      </w:r>
    </w:p>
    <w:p w:rsidR="00C3313D" w:rsidRDefault="00C3313D">
      <w:pPr>
        <w:spacing w:line="360" w:lineRule="auto"/>
        <w:jc w:val="both"/>
        <w:rPr>
          <w:b/>
          <w:bCs/>
          <w:lang w:val="es-MX"/>
        </w:rPr>
      </w:pPr>
    </w:p>
    <w:p w:rsidR="006F45D7" w:rsidRDefault="006F45D7">
      <w:pPr>
        <w:spacing w:line="360" w:lineRule="auto"/>
        <w:jc w:val="both"/>
      </w:pPr>
      <w:r>
        <w:rPr>
          <w:b/>
          <w:bCs/>
          <w:lang w:val="es-MX"/>
        </w:rPr>
        <w:t xml:space="preserve">4.1. </w:t>
      </w:r>
      <w:r>
        <w:rPr>
          <w:bCs/>
          <w:lang w:val="es-MX"/>
        </w:rPr>
        <w:t>E</w:t>
      </w:r>
      <w:r>
        <w:t>l Artículo 19 Numeral 6) de la Ley 9.515 de 1935, invocado por el Señor Intendente,  establece que es competencia de la Junta Departamental acordar autorización al Intendente, previo informe del Tribunal de Cuentas, para solicitar del Poder Legislativo la contratación de los empréstitos. No se entenderá por tales los préstamos bancarios en Cuenta Corriente, destinados exclusivamente al pago regular del presupuesto, los que deberán quedar cancelados dentro del Ejercicio. El límite de esta Cuenta lo fijará el Intendente con la anuencia de la Junta y el Tribunal de Cuentas, pudiendo estos dos últimos modificar sus alcances en cada Ejercicio.</w:t>
      </w:r>
    </w:p>
    <w:p w:rsidR="006F45D7" w:rsidRDefault="006F45D7">
      <w:pPr>
        <w:spacing w:line="360" w:lineRule="auto"/>
        <w:jc w:val="both"/>
        <w:rPr>
          <w:lang w:val="es-MX"/>
        </w:rPr>
      </w:pPr>
      <w:r>
        <w:rPr>
          <w:b/>
          <w:lang w:val="es-MX"/>
        </w:rPr>
        <w:t xml:space="preserve">4.2. </w:t>
      </w:r>
      <w:r>
        <w:rPr>
          <w:lang w:val="es-MX"/>
        </w:rPr>
        <w:t>De conformidad con lo dispuesto por el Artículo 301 Inciso 2) de la Constitución de la República, texto que proviene de la Reforma Constitucional de 1952, los Gobiernos Departamentales requieren para contratar préstamos, la iniciativa del Intendente y la aprobación de la mayoría absoluta de votos del total de componentes de la Junta Departamental, previo informe del Tribunal de Cuentas. Si el plazo de los préstamos excediera el período de gobierno del Intendente proponente, se requerirá para su aprobación, los dos tercios de votos del total de componentes de la Junta Departamental.</w:t>
      </w:r>
    </w:p>
    <w:p w:rsidR="00C3313D" w:rsidRDefault="00C3313D">
      <w:pPr>
        <w:spacing w:line="360" w:lineRule="auto"/>
        <w:jc w:val="both"/>
        <w:rPr>
          <w:lang w:val="es-MX"/>
        </w:rPr>
      </w:pPr>
    </w:p>
    <w:p w:rsidR="006F45D7" w:rsidRDefault="006F45D7">
      <w:pPr>
        <w:spacing w:line="360" w:lineRule="auto"/>
        <w:jc w:val="both"/>
        <w:rPr>
          <w:bCs/>
        </w:rPr>
      </w:pPr>
      <w:r>
        <w:rPr>
          <w:b/>
          <w:bCs/>
          <w:lang w:val="es-MX"/>
        </w:rPr>
        <w:t xml:space="preserve">4.3. </w:t>
      </w:r>
      <w:r>
        <w:rPr>
          <w:bCs/>
          <w:lang w:val="es-MX"/>
        </w:rPr>
        <w:t xml:space="preserve">El </w:t>
      </w:r>
      <w:r>
        <w:rPr>
          <w:b/>
          <w:bCs/>
        </w:rPr>
        <w:t xml:space="preserve"> </w:t>
      </w:r>
      <w:r>
        <w:rPr>
          <w:bCs/>
        </w:rPr>
        <w:t>Artículo 19 Numeral 6) de la Ley 9.515 no resulta aplicable en tanto el tema está regulado por el texto constitucional posterior y vigente (Artículo 301 Inciso 2).</w:t>
      </w:r>
    </w:p>
    <w:p w:rsidR="00C3313D" w:rsidRDefault="00C3313D">
      <w:pPr>
        <w:spacing w:line="360" w:lineRule="auto"/>
        <w:jc w:val="both"/>
        <w:rPr>
          <w:bCs/>
        </w:rPr>
      </w:pPr>
    </w:p>
    <w:p w:rsidR="006F45D7" w:rsidRDefault="006F45D7">
      <w:pPr>
        <w:spacing w:line="360" w:lineRule="auto"/>
        <w:jc w:val="both"/>
        <w:rPr>
          <w:lang w:val="es-MX"/>
        </w:rPr>
      </w:pPr>
      <w:r>
        <w:rPr>
          <w:b/>
          <w:lang w:val="es-MX"/>
        </w:rPr>
        <w:t xml:space="preserve">4.4. </w:t>
      </w:r>
      <w:r>
        <w:rPr>
          <w:lang w:val="es-MX"/>
        </w:rPr>
        <w:t>El informe del Tribunal tiene por objeto el control de los aspectos legales y condiciones económico-financieras en que se contrata el préstamo y las posibilidades de su reintegro de acuerdo con los recursos que se prevean al efecto. Dicho informe, de acuerdo con la norma precitada, debe ser previo al pronunciamiento de la Junta y no posterior al mismo.</w:t>
      </w:r>
    </w:p>
    <w:p w:rsidR="004072A9" w:rsidRDefault="004072A9">
      <w:pPr>
        <w:spacing w:line="360" w:lineRule="auto"/>
        <w:jc w:val="both"/>
        <w:rPr>
          <w:lang w:val="es-MX"/>
        </w:rPr>
      </w:pPr>
    </w:p>
    <w:p w:rsidR="006F45D7" w:rsidRDefault="006F45D7">
      <w:pPr>
        <w:spacing w:line="360" w:lineRule="auto"/>
        <w:jc w:val="both"/>
        <w:rPr>
          <w:b/>
          <w:bCs/>
          <w:lang w:val="es-MX"/>
        </w:rPr>
      </w:pPr>
      <w:r>
        <w:rPr>
          <w:b/>
          <w:bCs/>
          <w:lang w:val="es-MX"/>
        </w:rPr>
        <w:t>5- CONCLUSIONES</w:t>
      </w:r>
    </w:p>
    <w:p w:rsidR="00C3313D" w:rsidRDefault="00C3313D">
      <w:pPr>
        <w:spacing w:line="360" w:lineRule="auto"/>
        <w:jc w:val="both"/>
        <w:rPr>
          <w:b/>
          <w:bCs/>
          <w:lang w:val="es-MX"/>
        </w:rPr>
      </w:pPr>
    </w:p>
    <w:p w:rsidR="006F45D7" w:rsidRDefault="006F45D7">
      <w:pPr>
        <w:pStyle w:val="Textoindependiente"/>
        <w:rPr>
          <w:rFonts w:ascii="Arial" w:hAnsi="Arial" w:cs="Arial"/>
          <w:szCs w:val="24"/>
        </w:rPr>
      </w:pPr>
      <w:r>
        <w:rPr>
          <w:rFonts w:ascii="Arial" w:hAnsi="Arial" w:cs="Arial"/>
          <w:b/>
          <w:bCs/>
          <w:szCs w:val="24"/>
        </w:rPr>
        <w:t xml:space="preserve">5.1. </w:t>
      </w:r>
      <w:r>
        <w:rPr>
          <w:rFonts w:ascii="Arial" w:hAnsi="Arial" w:cs="Arial"/>
          <w:szCs w:val="24"/>
        </w:rPr>
        <w:t>No se ha dado cumplimiento a lo dispuesto por el Artículo 301 Inciso 2) de la Constitución de la República, en tanto el informe  requerido a este Tribunal debió ser previo a la anuencia otorgada por la Junta Departamental.</w:t>
      </w:r>
    </w:p>
    <w:p w:rsidR="00C3313D" w:rsidRDefault="00C3313D">
      <w:pPr>
        <w:pStyle w:val="Textoindependiente"/>
        <w:rPr>
          <w:rFonts w:ascii="Arial" w:hAnsi="Arial" w:cs="Arial"/>
          <w:szCs w:val="24"/>
        </w:rPr>
      </w:pPr>
    </w:p>
    <w:p w:rsidR="006F45D7" w:rsidRDefault="006F45D7">
      <w:pPr>
        <w:spacing w:line="360" w:lineRule="auto"/>
        <w:jc w:val="both"/>
      </w:pPr>
      <w:r>
        <w:rPr>
          <w:b/>
          <w:bCs/>
          <w:lang w:val="es-MX"/>
        </w:rPr>
        <w:t>5.2.</w:t>
      </w:r>
      <w:r>
        <w:rPr>
          <w:lang w:val="es-MX"/>
        </w:rPr>
        <w:t xml:space="preserve"> D</w:t>
      </w:r>
      <w:proofErr w:type="spellStart"/>
      <w:r>
        <w:t>eberá</w:t>
      </w:r>
      <w:proofErr w:type="spellEnd"/>
      <w:r>
        <w:t xml:space="preserve"> remitirse el Proyecto de Contrato o el Contrato suscrito ad referéndum, a los efectos de la intervención preventiva y demás controles que competen a este Tribunal.</w:t>
      </w:r>
    </w:p>
    <w:p w:rsidR="008E4AD8" w:rsidRPr="006F45D7" w:rsidRDefault="006F45D7" w:rsidP="006F45D7">
      <w:pPr>
        <w:spacing w:line="360" w:lineRule="auto"/>
        <w:jc w:val="both"/>
        <w:rPr>
          <w:lang w:val="es-MX"/>
        </w:rPr>
      </w:pPr>
      <w:proofErr w:type="spellStart"/>
      <w:proofErr w:type="gramStart"/>
      <w:r>
        <w:t>cr</w:t>
      </w:r>
      <w:proofErr w:type="spellEnd"/>
      <w:proofErr w:type="gramEnd"/>
    </w:p>
    <w:sectPr w:rsidR="008E4AD8" w:rsidRPr="006F45D7" w:rsidSect="00B21460">
      <w:pgSz w:w="11906" w:h="16838" w:code="9"/>
      <w:pgMar w:top="3402" w:right="1701" w:bottom="1418"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D8"/>
    <w:rsid w:val="004072A9"/>
    <w:rsid w:val="006F45D7"/>
    <w:rsid w:val="008E4AD8"/>
    <w:rsid w:val="00B21460"/>
    <w:rsid w:val="00C3313D"/>
    <w:rsid w:val="00DA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link w:val="Ttulo1Car"/>
    <w:qFormat/>
    <w:pPr>
      <w:spacing w:line="360" w:lineRule="auto"/>
      <w:jc w:val="center"/>
      <w:outlineLvl w:val="0"/>
    </w:pPr>
    <w:rPr>
      <w:rFonts w:ascii="Arial Unicode MS" w:eastAsia="Arial Unicode MS" w:hAnsi="Arial Unicode MS" w:cs="Arial Unicode MS"/>
      <w:b/>
      <w:bCs/>
      <w:kern w:val="36"/>
      <w:sz w:val="48"/>
      <w:szCs w:val="48"/>
    </w:rPr>
  </w:style>
  <w:style w:type="paragraph" w:styleId="Ttulo2">
    <w:name w:val="heading 2"/>
    <w:basedOn w:val="Normal"/>
    <w:next w:val="Normal"/>
    <w:link w:val="Ttulo2Car"/>
    <w:uiPriority w:val="99"/>
    <w:qFormat/>
    <w:pPr>
      <w:keepNext/>
      <w:suppressAutoHyphens/>
      <w:spacing w:line="360" w:lineRule="auto"/>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Unicode MS" w:eastAsia="Arial Unicode MS" w:hAnsi="Arial Unicode MS" w:cs="Arial Unicode MS"/>
      <w:b/>
      <w:bCs/>
      <w:kern w:val="36"/>
      <w:sz w:val="48"/>
      <w:szCs w:val="48"/>
      <w:lang w:val="es-ES" w:eastAsia="es-ES"/>
    </w:rPr>
  </w:style>
  <w:style w:type="character" w:customStyle="1" w:styleId="Ttulo2Car">
    <w:name w:val="Título 2 Car"/>
    <w:basedOn w:val="Fuentedeprrafopredeter"/>
    <w:link w:val="Ttulo2"/>
    <w:uiPriority w:val="9"/>
    <w:semiHidden/>
    <w:rsid w:val="008E4AD8"/>
    <w:rPr>
      <w:rFonts w:asciiTheme="majorHAnsi" w:eastAsiaTheme="majorEastAsia" w:hAnsiTheme="majorHAnsi" w:cstheme="majorBidi"/>
      <w:b/>
      <w:bCs/>
      <w:i/>
      <w:iCs/>
      <w:sz w:val="28"/>
      <w:szCs w:val="28"/>
    </w:rPr>
  </w:style>
  <w:style w:type="paragraph" w:styleId="Textoindependiente">
    <w:name w:val="Body Text"/>
    <w:basedOn w:val="Normal"/>
    <w:link w:val="TextoindependienteCar"/>
    <w:semiHidden/>
    <w:rsid w:val="006F45D7"/>
    <w:pPr>
      <w:spacing w:line="360" w:lineRule="auto"/>
      <w:jc w:val="both"/>
    </w:pPr>
    <w:rPr>
      <w:rFonts w:ascii="Bookman Old Style" w:eastAsia="Times New Roman" w:hAnsi="Bookman Old Style" w:cs="Times New Roman"/>
      <w:szCs w:val="20"/>
      <w:lang w:val="es-MX"/>
    </w:rPr>
  </w:style>
  <w:style w:type="character" w:customStyle="1" w:styleId="TextoindependienteCar">
    <w:name w:val="Texto independiente Car"/>
    <w:basedOn w:val="Fuentedeprrafopredeter"/>
    <w:link w:val="Textoindependiente"/>
    <w:semiHidden/>
    <w:rsid w:val="006F45D7"/>
    <w:rPr>
      <w:rFonts w:ascii="Bookman Old Style" w:eastAsia="Times New Roman" w:hAnsi="Bookman Old Style" w:cs="Times New Roman"/>
      <w:sz w:val="24"/>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link w:val="Ttulo1Car"/>
    <w:qFormat/>
    <w:pPr>
      <w:spacing w:line="360" w:lineRule="auto"/>
      <w:jc w:val="center"/>
      <w:outlineLvl w:val="0"/>
    </w:pPr>
    <w:rPr>
      <w:rFonts w:ascii="Arial Unicode MS" w:eastAsia="Arial Unicode MS" w:hAnsi="Arial Unicode MS" w:cs="Arial Unicode MS"/>
      <w:b/>
      <w:bCs/>
      <w:kern w:val="36"/>
      <w:sz w:val="48"/>
      <w:szCs w:val="48"/>
    </w:rPr>
  </w:style>
  <w:style w:type="paragraph" w:styleId="Ttulo2">
    <w:name w:val="heading 2"/>
    <w:basedOn w:val="Normal"/>
    <w:next w:val="Normal"/>
    <w:link w:val="Ttulo2Car"/>
    <w:uiPriority w:val="99"/>
    <w:qFormat/>
    <w:pPr>
      <w:keepNext/>
      <w:suppressAutoHyphens/>
      <w:spacing w:line="360" w:lineRule="auto"/>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Unicode MS" w:eastAsia="Arial Unicode MS" w:hAnsi="Arial Unicode MS" w:cs="Arial Unicode MS"/>
      <w:b/>
      <w:bCs/>
      <w:kern w:val="36"/>
      <w:sz w:val="48"/>
      <w:szCs w:val="48"/>
      <w:lang w:val="es-ES" w:eastAsia="es-ES"/>
    </w:rPr>
  </w:style>
  <w:style w:type="character" w:customStyle="1" w:styleId="Ttulo2Car">
    <w:name w:val="Título 2 Car"/>
    <w:basedOn w:val="Fuentedeprrafopredeter"/>
    <w:link w:val="Ttulo2"/>
    <w:uiPriority w:val="9"/>
    <w:semiHidden/>
    <w:rsid w:val="008E4AD8"/>
    <w:rPr>
      <w:rFonts w:asciiTheme="majorHAnsi" w:eastAsiaTheme="majorEastAsia" w:hAnsiTheme="majorHAnsi" w:cstheme="majorBidi"/>
      <w:b/>
      <w:bCs/>
      <w:i/>
      <w:iCs/>
      <w:sz w:val="28"/>
      <w:szCs w:val="28"/>
    </w:rPr>
  </w:style>
  <w:style w:type="paragraph" w:styleId="Textoindependiente">
    <w:name w:val="Body Text"/>
    <w:basedOn w:val="Normal"/>
    <w:link w:val="TextoindependienteCar"/>
    <w:semiHidden/>
    <w:rsid w:val="006F45D7"/>
    <w:pPr>
      <w:spacing w:line="360" w:lineRule="auto"/>
      <w:jc w:val="both"/>
    </w:pPr>
    <w:rPr>
      <w:rFonts w:ascii="Bookman Old Style" w:eastAsia="Times New Roman" w:hAnsi="Bookman Old Style" w:cs="Times New Roman"/>
      <w:szCs w:val="20"/>
      <w:lang w:val="es-MX"/>
    </w:rPr>
  </w:style>
  <w:style w:type="character" w:customStyle="1" w:styleId="TextoindependienteCar">
    <w:name w:val="Texto independiente Car"/>
    <w:basedOn w:val="Fuentedeprrafopredeter"/>
    <w:link w:val="Textoindependiente"/>
    <w:semiHidden/>
    <w:rsid w:val="006F45D7"/>
    <w:rPr>
      <w:rFonts w:ascii="Bookman Old Style" w:eastAsia="Times New Roman" w:hAnsi="Bookman Old Style" w:cs="Times New Roman"/>
      <w:sz w:val="24"/>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801</Words>
  <Characters>4284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De Souza</dc:creator>
  <cp:keywords/>
  <dc:description/>
  <cp:lastModifiedBy> </cp:lastModifiedBy>
  <cp:revision>5</cp:revision>
  <cp:lastPrinted>2014-12-04T19:05:00Z</cp:lastPrinted>
  <dcterms:created xsi:type="dcterms:W3CDTF">2014-12-04T12:54:00Z</dcterms:created>
  <dcterms:modified xsi:type="dcterms:W3CDTF">2015-01-30T16:35:00Z</dcterms:modified>
</cp:coreProperties>
</file>