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B9" w:rsidRPr="00B35B8D" w:rsidRDefault="00B671B9" w:rsidP="00B671B9">
      <w:pPr>
        <w:tabs>
          <w:tab w:val="center" w:pos="4253"/>
        </w:tabs>
        <w:suppressAutoHyphens/>
        <w:jc w:val="center"/>
        <w:rPr>
          <w:b/>
          <w:lang w:val="es-ES_tradnl"/>
        </w:rPr>
      </w:pPr>
      <w:bookmarkStart w:id="0" w:name="_GoBack"/>
      <w:bookmarkEnd w:id="0"/>
      <w:r w:rsidRPr="00B35B8D">
        <w:rPr>
          <w:b/>
          <w:lang w:val="es-ES_tradnl"/>
        </w:rPr>
        <w:t>RESOLUCION ADOPTADA POR EL</w:t>
      </w:r>
    </w:p>
    <w:p w:rsidR="00B671B9" w:rsidRPr="00B35B8D" w:rsidRDefault="00B671B9" w:rsidP="00B671B9">
      <w:pPr>
        <w:tabs>
          <w:tab w:val="left" w:pos="-720"/>
        </w:tabs>
        <w:suppressAutoHyphens/>
        <w:jc w:val="center"/>
        <w:rPr>
          <w:b/>
          <w:lang w:val="es-ES_tradnl"/>
        </w:rPr>
      </w:pPr>
    </w:p>
    <w:p w:rsidR="00B671B9" w:rsidRPr="00B35B8D" w:rsidRDefault="00B671B9" w:rsidP="00B671B9">
      <w:pPr>
        <w:tabs>
          <w:tab w:val="center" w:pos="4253"/>
        </w:tabs>
        <w:suppressAutoHyphens/>
        <w:jc w:val="center"/>
        <w:rPr>
          <w:b/>
          <w:lang w:val="es-ES_tradnl"/>
        </w:rPr>
      </w:pPr>
      <w:r w:rsidRPr="00B35B8D">
        <w:rPr>
          <w:b/>
          <w:lang w:val="es-ES_tradnl"/>
        </w:rPr>
        <w:t>TRIBUNAL DE CUENTAS</w:t>
      </w:r>
    </w:p>
    <w:p w:rsidR="00B671B9" w:rsidRPr="00B35B8D" w:rsidRDefault="00B671B9" w:rsidP="00B671B9">
      <w:pPr>
        <w:tabs>
          <w:tab w:val="left" w:pos="-720"/>
        </w:tabs>
        <w:suppressAutoHyphens/>
        <w:jc w:val="center"/>
        <w:rPr>
          <w:b/>
          <w:lang w:val="es-ES_tradnl"/>
        </w:rPr>
      </w:pPr>
    </w:p>
    <w:p w:rsidR="00B671B9" w:rsidRPr="00B35B8D" w:rsidRDefault="00B671B9" w:rsidP="00B671B9">
      <w:pPr>
        <w:tabs>
          <w:tab w:val="center" w:pos="4253"/>
        </w:tabs>
        <w:suppressAutoHyphens/>
        <w:jc w:val="center"/>
        <w:rPr>
          <w:b/>
          <w:lang w:val="es-ES_tradnl"/>
        </w:rPr>
      </w:pPr>
      <w:r w:rsidRPr="00B35B8D">
        <w:rPr>
          <w:b/>
          <w:lang w:val="es-ES_tradnl"/>
        </w:rPr>
        <w:t>EN SESION DE FECHA 26 DE NOVIEMBRE DE 2014</w:t>
      </w:r>
    </w:p>
    <w:p w:rsidR="00B671B9" w:rsidRPr="00B35B8D" w:rsidRDefault="00B671B9" w:rsidP="00B671B9">
      <w:pPr>
        <w:tabs>
          <w:tab w:val="center" w:pos="4253"/>
        </w:tabs>
        <w:suppressAutoHyphens/>
        <w:jc w:val="center"/>
        <w:rPr>
          <w:b/>
          <w:lang w:val="es-ES_tradnl"/>
        </w:rPr>
      </w:pPr>
    </w:p>
    <w:p w:rsidR="00B671B9" w:rsidRPr="00B35B8D" w:rsidRDefault="00B671B9" w:rsidP="00B671B9">
      <w:pPr>
        <w:tabs>
          <w:tab w:val="center" w:pos="4253"/>
        </w:tabs>
        <w:suppressAutoHyphens/>
        <w:jc w:val="center"/>
        <w:rPr>
          <w:b/>
          <w:lang w:val="es-ES_tradnl"/>
        </w:rPr>
      </w:pPr>
      <w:r w:rsidRPr="00B35B8D">
        <w:rPr>
          <w:b/>
          <w:lang w:val="es-ES_tradnl"/>
        </w:rPr>
        <w:t>(E. E. Nº 2014-17-1-000</w:t>
      </w:r>
      <w:r>
        <w:rPr>
          <w:b/>
          <w:lang w:val="es-ES_tradnl"/>
        </w:rPr>
        <w:t>5219</w:t>
      </w:r>
      <w:r w:rsidRPr="00B35B8D">
        <w:rPr>
          <w:b/>
          <w:lang w:val="es-ES_tradnl"/>
        </w:rPr>
        <w:t xml:space="preserve">, </w:t>
      </w:r>
      <w:proofErr w:type="spellStart"/>
      <w:r w:rsidRPr="00B35B8D">
        <w:rPr>
          <w:b/>
          <w:lang w:val="es-ES_tradnl"/>
        </w:rPr>
        <w:t>Ent</w:t>
      </w:r>
      <w:proofErr w:type="spellEnd"/>
      <w:r w:rsidRPr="00B35B8D">
        <w:rPr>
          <w:b/>
          <w:lang w:val="es-ES_tradnl"/>
        </w:rPr>
        <w:t xml:space="preserve">. N° </w:t>
      </w:r>
      <w:r>
        <w:rPr>
          <w:b/>
          <w:lang w:val="es-ES_tradnl"/>
        </w:rPr>
        <w:t>3971</w:t>
      </w:r>
      <w:r w:rsidRPr="00B35B8D">
        <w:rPr>
          <w:b/>
          <w:lang w:val="es-ES_tradnl"/>
        </w:rPr>
        <w:t>/14)</w:t>
      </w:r>
    </w:p>
    <w:p w:rsidR="00B671B9" w:rsidRPr="00B35B8D" w:rsidRDefault="00B671B9" w:rsidP="00B671B9">
      <w:pPr>
        <w:tabs>
          <w:tab w:val="center" w:pos="4253"/>
        </w:tabs>
        <w:suppressAutoHyphens/>
        <w:jc w:val="center"/>
        <w:rPr>
          <w:spacing w:val="-3"/>
          <w:lang w:val="es-ES_tradnl"/>
        </w:rPr>
      </w:pPr>
    </w:p>
    <w:p w:rsidR="00A6611B" w:rsidRDefault="00A6611B">
      <w:pPr>
        <w:pStyle w:val="Textoindependiente"/>
        <w:rPr>
          <w:b/>
          <w:bCs/>
        </w:rPr>
      </w:pPr>
    </w:p>
    <w:p w:rsidR="00A6611B" w:rsidRDefault="00A6611B" w:rsidP="00A07E5F">
      <w:pPr>
        <w:pStyle w:val="Textoindependiente"/>
        <w:ind w:firstLine="851"/>
      </w:pPr>
      <w:r>
        <w:rPr>
          <w:b/>
          <w:bCs/>
        </w:rPr>
        <w:t>VISTO:</w:t>
      </w:r>
      <w:r>
        <w:t xml:space="preserve"> la Rendición de Cuentas y Balance de Ejecución Presupuestal por el Ejercicio 2013 de la Intendencia de Flores;</w:t>
      </w:r>
    </w:p>
    <w:p w:rsidR="00A6611B" w:rsidRDefault="00A6611B" w:rsidP="00A07E5F">
      <w:pPr>
        <w:pStyle w:val="Textoindependiente"/>
        <w:ind w:firstLine="851"/>
      </w:pPr>
      <w:r>
        <w:rPr>
          <w:b/>
          <w:bCs/>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A6611B" w:rsidRDefault="00A6611B" w:rsidP="00A07E5F">
      <w:pPr>
        <w:pStyle w:val="Textoindependiente"/>
        <w:ind w:firstLine="851"/>
      </w:pPr>
      <w:r>
        <w:rPr>
          <w:b/>
          <w:bCs/>
        </w:rPr>
        <w:t xml:space="preserve">CONSIDERANDO: </w:t>
      </w:r>
      <w:r>
        <w:t>que las conclusiones y evidencias obtenidas son las que se expresan en el Informe de Auditoría, que incluye Dictamen e Informe a la Administración;</w:t>
      </w:r>
    </w:p>
    <w:p w:rsidR="00A6611B" w:rsidRDefault="00A6611B" w:rsidP="00A07E5F">
      <w:pPr>
        <w:pStyle w:val="Textoindependiente"/>
        <w:ind w:firstLine="851"/>
      </w:pPr>
      <w:r>
        <w:rPr>
          <w:b/>
          <w:bCs/>
        </w:rPr>
        <w:t xml:space="preserve">ATENTO: </w:t>
      </w:r>
      <w:r>
        <w:t>a lo dispuesto por el Artículo 211 Literal C) de la Constitución de la República;</w:t>
      </w:r>
    </w:p>
    <w:p w:rsidR="00A6611B" w:rsidRDefault="00A6611B">
      <w:pPr>
        <w:pStyle w:val="Ttulo6"/>
      </w:pPr>
      <w:r>
        <w:t>EL TRIBUNAL ACUERDA</w:t>
      </w:r>
    </w:p>
    <w:p w:rsidR="00A6611B" w:rsidRDefault="00A6611B">
      <w:pPr>
        <w:pStyle w:val="Lista"/>
        <w:numPr>
          <w:ilvl w:val="0"/>
          <w:numId w:val="1"/>
        </w:numPr>
      </w:pPr>
      <w:r>
        <w:t>Expedirse respecto a la Rendición de Cuentas y Balance de Ejecución Presupuestal de la Intendencia de Flores correspondiente al Ejercicio 2013, en los términos del Info</w:t>
      </w:r>
      <w:r w:rsidR="00A07E5F">
        <w:t>rme de Auditoría que se adjunta;</w:t>
      </w:r>
    </w:p>
    <w:p w:rsidR="00A6611B" w:rsidRDefault="00A6611B">
      <w:pPr>
        <w:pStyle w:val="Lista"/>
        <w:numPr>
          <w:ilvl w:val="0"/>
          <w:numId w:val="1"/>
        </w:numPr>
      </w:pPr>
      <w:r>
        <w:t>Comunicar la presente Resolución a la Intendencia de Flores y a la Contadora Delegada</w:t>
      </w:r>
      <w:r w:rsidR="00A07E5F">
        <w:t>;</w:t>
      </w:r>
    </w:p>
    <w:p w:rsidR="00A6611B" w:rsidRDefault="00A6611B">
      <w:pPr>
        <w:pStyle w:val="Lista"/>
        <w:numPr>
          <w:ilvl w:val="0"/>
          <w:numId w:val="1"/>
        </w:numPr>
      </w:pPr>
      <w:r>
        <w:t>D</w:t>
      </w:r>
      <w:r w:rsidR="00A07E5F">
        <w:t>ar cuenta a la Asamblea General;</w:t>
      </w:r>
    </w:p>
    <w:p w:rsidR="00A6611B" w:rsidRDefault="00A6611B">
      <w:pPr>
        <w:pStyle w:val="Lista"/>
        <w:numPr>
          <w:ilvl w:val="0"/>
          <w:numId w:val="1"/>
        </w:numPr>
      </w:pPr>
      <w:r>
        <w:t>Devolver los antecedentes a la Junta Departamental de Flores.</w:t>
      </w:r>
    </w:p>
    <w:p w:rsidR="00A6611B" w:rsidRDefault="00A6611B">
      <w:pPr>
        <w:pStyle w:val="Piedepgina"/>
        <w:tabs>
          <w:tab w:val="clear" w:pos="4252"/>
          <w:tab w:val="clear" w:pos="8504"/>
        </w:tabs>
        <w:spacing w:line="360" w:lineRule="auto"/>
        <w:jc w:val="both"/>
        <w:rPr>
          <w:lang w:val="es-ES_tradnl"/>
        </w:rPr>
      </w:pPr>
    </w:p>
    <w:p w:rsidR="00A6611B" w:rsidRDefault="00A6611B">
      <w:pPr>
        <w:pStyle w:val="Piedepgina"/>
        <w:tabs>
          <w:tab w:val="clear" w:pos="4252"/>
          <w:tab w:val="clear" w:pos="8504"/>
        </w:tabs>
        <w:spacing w:line="360" w:lineRule="auto"/>
        <w:jc w:val="both"/>
        <w:rPr>
          <w:lang w:val="es-ES_tradnl"/>
        </w:rPr>
      </w:pPr>
    </w:p>
    <w:p w:rsidR="00C93E22" w:rsidRDefault="00C93E22">
      <w:pPr>
        <w:pStyle w:val="Piedepgina"/>
        <w:tabs>
          <w:tab w:val="clear" w:pos="4252"/>
          <w:tab w:val="clear" w:pos="8504"/>
        </w:tabs>
        <w:spacing w:line="360" w:lineRule="auto"/>
        <w:jc w:val="both"/>
        <w:rPr>
          <w:lang w:val="es-ES_tradnl"/>
        </w:rPr>
      </w:pPr>
    </w:p>
    <w:p w:rsidR="00C93E22" w:rsidRDefault="00C93E22">
      <w:pPr>
        <w:pStyle w:val="Ttulo"/>
        <w:jc w:val="center"/>
        <w:rPr>
          <w:rFonts w:cs="Arial"/>
          <w:sz w:val="24"/>
          <w:lang w:val="es-ES_tradnl"/>
        </w:rPr>
      </w:pPr>
      <w:bookmarkStart w:id="1" w:name="_Toc309912369"/>
      <w:bookmarkStart w:id="2" w:name="_Toc366165597"/>
      <w:bookmarkStart w:id="3" w:name="_Toc71366619"/>
      <w:bookmarkStart w:id="4" w:name="_Toc76280777"/>
      <w:bookmarkStart w:id="5" w:name="_Toc264991738"/>
      <w:bookmarkStart w:id="6" w:name="_Toc236196332"/>
      <w:bookmarkStart w:id="7" w:name="_Toc269199381"/>
      <w:bookmarkStart w:id="8" w:name="_Toc208222840"/>
      <w:bookmarkStart w:id="9" w:name="_Toc309912371"/>
      <w:r>
        <w:rPr>
          <w:rFonts w:cs="Arial"/>
          <w:sz w:val="24"/>
          <w:lang w:val="es-ES_tradnl"/>
        </w:rPr>
        <w:lastRenderedPageBreak/>
        <w:t>DICTAMEN</w:t>
      </w:r>
      <w:bookmarkEnd w:id="1"/>
      <w:bookmarkEnd w:id="2"/>
    </w:p>
    <w:p w:rsidR="00C93E22" w:rsidRDefault="00C93E22">
      <w:pPr>
        <w:rPr>
          <w:lang w:val="es-ES_tradnl"/>
        </w:rPr>
      </w:pPr>
    </w:p>
    <w:bookmarkEnd w:id="3"/>
    <w:bookmarkEnd w:id="4"/>
    <w:bookmarkEnd w:id="5"/>
    <w:bookmarkEnd w:id="6"/>
    <w:bookmarkEnd w:id="7"/>
    <w:p w:rsidR="00C93E22" w:rsidRDefault="00C93E22">
      <w:pPr>
        <w:pStyle w:val="Subttulo"/>
        <w:rPr>
          <w:rFonts w:ascii="Arial" w:hAnsi="Arial"/>
          <w:b w:val="0"/>
        </w:rPr>
      </w:pPr>
      <w:r>
        <w:rPr>
          <w:rFonts w:ascii="Arial" w:hAnsi="Arial"/>
          <w:b w:val="0"/>
        </w:rPr>
        <w:t>El Tribunal de Cuentas ha examinado la Rendición de Cuentas y el Balance de Ejecución Presupuestal de la Intendencia de Flores correspondiente al   Ejercicio 2013, que incluye los siguientes estados: de Ejecución Presupuestal con relación a los Recursos y a los Créditos, Resultado del Ejercicio, Resultado Acumulado y otros estados complementarios.</w:t>
      </w:r>
    </w:p>
    <w:p w:rsidR="00C93E22" w:rsidRDefault="00C93E22">
      <w:pPr>
        <w:pStyle w:val="Subttulo"/>
        <w:rPr>
          <w:rFonts w:ascii="Arial" w:hAnsi="Arial"/>
          <w:b w:val="0"/>
        </w:rPr>
      </w:pPr>
      <w:r>
        <w:rPr>
          <w:rFonts w:ascii="Arial" w:hAnsi="Arial"/>
          <w:b w:val="0"/>
        </w:rPr>
        <w:t>También se presentan, en caso de corresponder, los incumplimientos legales constatados por el Tribunal de Cuentas en el curso de la auditoría efectuada.</w:t>
      </w:r>
    </w:p>
    <w:p w:rsidR="00C93E22" w:rsidRDefault="00C93E22">
      <w:pPr>
        <w:pStyle w:val="Subttulo"/>
        <w:rPr>
          <w:rFonts w:ascii="Arial" w:hAnsi="Arial"/>
          <w:b w:val="0"/>
        </w:rPr>
      </w:pPr>
    </w:p>
    <w:p w:rsidR="00C93E22" w:rsidRDefault="00C93E22">
      <w:pPr>
        <w:pStyle w:val="Subttulo"/>
        <w:rPr>
          <w:rFonts w:ascii="Arial" w:hAnsi="Arial" w:cs="Arial"/>
          <w:bCs/>
        </w:rPr>
      </w:pPr>
      <w:r>
        <w:rPr>
          <w:rFonts w:ascii="Arial" w:hAnsi="Arial" w:cs="Arial"/>
          <w:bCs/>
        </w:rPr>
        <w:t>Responsabilidad de la Administración</w:t>
      </w:r>
    </w:p>
    <w:p w:rsidR="00C93E22" w:rsidRDefault="00C93E22">
      <w:pPr>
        <w:pStyle w:val="Textoindependiente"/>
        <w:rPr>
          <w:bCs/>
          <w:kern w:val="18"/>
          <w:szCs w:val="20"/>
        </w:rPr>
      </w:pPr>
      <w:r>
        <w:rPr>
          <w:bCs/>
          <w:kern w:val="18"/>
          <w:szCs w:val="20"/>
        </w:rPr>
        <w:t>La Intendencia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C93E22" w:rsidRDefault="00C93E22">
      <w:pPr>
        <w:pStyle w:val="Textoindependiente"/>
        <w:rPr>
          <w:bCs/>
          <w:kern w:val="18"/>
          <w:szCs w:val="20"/>
        </w:rPr>
      </w:pPr>
    </w:p>
    <w:p w:rsidR="00C93E22" w:rsidRDefault="00C93E22">
      <w:pPr>
        <w:pStyle w:val="Subttulo"/>
        <w:rPr>
          <w:rFonts w:ascii="Arial" w:hAnsi="Arial" w:cs="Arial"/>
          <w:bCs/>
        </w:rPr>
      </w:pPr>
      <w:r>
        <w:rPr>
          <w:rFonts w:ascii="Arial" w:hAnsi="Arial" w:cs="Arial"/>
          <w:bCs/>
        </w:rPr>
        <w:t>Responsabilidad del Auditor</w:t>
      </w:r>
    </w:p>
    <w:p w:rsidR="00C93E22" w:rsidRDefault="00C93E22">
      <w:pPr>
        <w:pStyle w:val="Subttulo"/>
        <w:rPr>
          <w:rFonts w:ascii="Arial" w:hAnsi="Arial"/>
          <w:b w:val="0"/>
        </w:rPr>
      </w:pPr>
      <w:r>
        <w:rPr>
          <w:rFonts w:ascii="Arial" w:hAnsi="Arial"/>
          <w:b w:val="0"/>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Esas normas requieren que se cumpla con requisitos éticos, se planifique y se realice la auditoría para obtener seguridad razonable acerca de si los estados contables están libres de errores significativos.</w:t>
      </w:r>
    </w:p>
    <w:p w:rsidR="00C93E22" w:rsidRDefault="00C93E22">
      <w:pPr>
        <w:pStyle w:val="Subttulo"/>
        <w:rPr>
          <w:rFonts w:ascii="Arial" w:hAnsi="Arial"/>
          <w:b w:val="0"/>
        </w:rPr>
      </w:pPr>
    </w:p>
    <w:p w:rsidR="00C93E22" w:rsidRDefault="00C93E22">
      <w:pPr>
        <w:pStyle w:val="Subttulo"/>
        <w:tabs>
          <w:tab w:val="left" w:pos="0"/>
        </w:tabs>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C93E22" w:rsidRDefault="00C93E22">
      <w:pPr>
        <w:pStyle w:val="Subttulo"/>
        <w:rPr>
          <w:rFonts w:ascii="Arial" w:hAnsi="Arial"/>
          <w:b w:val="0"/>
        </w:rPr>
      </w:pPr>
      <w:r>
        <w:rPr>
          <w:rFonts w:ascii="Arial" w:hAnsi="Arial"/>
          <w:b w:val="0"/>
        </w:rPr>
        <w:t>Se considera que la evidencia de auditoría obtenida brinda una base suficiente y apropiada para sustentar la opinión.</w:t>
      </w:r>
    </w:p>
    <w:p w:rsidR="00C93E22" w:rsidRDefault="00C93E22">
      <w:pPr>
        <w:pStyle w:val="Textoindependiente"/>
        <w:rPr>
          <w:b/>
          <w:bCs/>
        </w:rPr>
      </w:pPr>
    </w:p>
    <w:p w:rsidR="00C93E22" w:rsidRDefault="00C93E22">
      <w:pPr>
        <w:pStyle w:val="Textoindependiente"/>
        <w:rPr>
          <w:b/>
          <w:bCs/>
          <w:lang w:val="es-ES_tradnl"/>
        </w:rPr>
      </w:pPr>
      <w:r>
        <w:rPr>
          <w:b/>
          <w:bCs/>
          <w:lang w:val="es-ES_tradnl"/>
        </w:rPr>
        <w:t>Opinión</w:t>
      </w:r>
    </w:p>
    <w:p w:rsidR="00C93E22" w:rsidRDefault="00C93E22">
      <w:pPr>
        <w:pStyle w:val="Textoindependiente"/>
        <w:rPr>
          <w:b/>
          <w:bCs/>
        </w:rPr>
      </w:pPr>
      <w:r>
        <w:t>En opinión del Tribunal de Cuentas, los estados mencionados presentan razonablemente, en todos sus aspectos importantes, la ejecución presupuestal del Ejercicio 2013 con relación a los recursos y a los créditos, el resultado del Ejercicio 2013 y el resultado acumu</w:t>
      </w:r>
      <w:r>
        <w:softHyphen/>
        <w:t>lado al 31 de diciembre de 2013, de acuerdo a las normas establecidas en el TOCAF y a la Resolución de este Tribuna</w:t>
      </w:r>
      <w:r w:rsidR="00042FF2">
        <w:t>l de fecha 28 de enero de 2004.</w:t>
      </w:r>
    </w:p>
    <w:p w:rsidR="00C93E22" w:rsidRDefault="00C93E22">
      <w:pPr>
        <w:spacing w:line="360" w:lineRule="auto"/>
        <w:jc w:val="both"/>
      </w:pPr>
    </w:p>
    <w:p w:rsidR="00C93E22" w:rsidRDefault="00C93E22">
      <w:pPr>
        <w:spacing w:line="360" w:lineRule="auto"/>
        <w:jc w:val="both"/>
      </w:pPr>
      <w:r>
        <w:t>Con relación al cumplimiento de la normativa vigente, en el curso de la auditoría se ha constatado que:</w:t>
      </w:r>
    </w:p>
    <w:p w:rsidR="00C93E22" w:rsidRDefault="00C93E22">
      <w:pPr>
        <w:spacing w:line="360" w:lineRule="auto"/>
        <w:jc w:val="both"/>
      </w:pPr>
    </w:p>
    <w:p w:rsidR="00C93E22" w:rsidRDefault="00C93E22">
      <w:pPr>
        <w:numPr>
          <w:ilvl w:val="0"/>
          <w:numId w:val="2"/>
        </w:numPr>
        <w:shd w:val="clear" w:color="auto" w:fill="FFFFFF"/>
        <w:tabs>
          <w:tab w:val="clear" w:pos="720"/>
          <w:tab w:val="num" w:pos="0"/>
          <w:tab w:val="left" w:pos="360"/>
        </w:tabs>
        <w:spacing w:line="360" w:lineRule="auto"/>
        <w:ind w:left="0" w:firstLine="0"/>
        <w:jc w:val="both"/>
      </w:pPr>
      <w:r>
        <w:rPr>
          <w:b/>
          <w:bCs/>
        </w:rPr>
        <w:t>Artículo 86 de la Constitución de la República y Presupuesto Quinquenal 2011-2015 de la Intendencia de Flores:</w:t>
      </w:r>
      <w:r>
        <w:rPr>
          <w:rStyle w:val="apple-converted-space"/>
          <w:b/>
          <w:bCs/>
          <w:color w:val="000000"/>
        </w:rPr>
        <w:t> </w:t>
      </w:r>
      <w:r>
        <w:rPr>
          <w:rStyle w:val="apple-converted-space"/>
          <w:bCs/>
          <w:color w:val="000000"/>
        </w:rPr>
        <w:t>En cuanto al personal contratado, n</w:t>
      </w:r>
      <w:r>
        <w:t>o se dio cumplimiento durante el Ejercicio 2013 a la estructura orgánica administrativa establecida por la Junta Departamental en el Presupuesto 2011-2015, no respetando la estructura de programas, escalafones y cargos aprobados. Asimismo, se pagaron compensaciones dispuestas por Resolución del Intendente, las que fueron observadas por la Contadora Delegada.</w:t>
      </w:r>
    </w:p>
    <w:p w:rsidR="00C93E22" w:rsidRDefault="00C93E22" w:rsidP="00C93E22">
      <w:pPr>
        <w:shd w:val="clear" w:color="auto" w:fill="FFFFFF"/>
        <w:tabs>
          <w:tab w:val="left" w:pos="360"/>
        </w:tabs>
        <w:spacing w:line="360" w:lineRule="auto"/>
        <w:jc w:val="both"/>
      </w:pPr>
    </w:p>
    <w:p w:rsidR="00C93E22" w:rsidRDefault="00C93E22">
      <w:pPr>
        <w:pStyle w:val="NormalWeb"/>
        <w:numPr>
          <w:ilvl w:val="0"/>
          <w:numId w:val="2"/>
        </w:numPr>
        <w:shd w:val="clear" w:color="auto" w:fill="FFFFFF"/>
        <w:tabs>
          <w:tab w:val="clear" w:pos="720"/>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Artículo 297 Numeral 1) de la Constitución de la República:</w:t>
      </w:r>
      <w:r>
        <w:rPr>
          <w:rStyle w:val="apple-converted-space"/>
          <w:rFonts w:ascii="Arial" w:hAnsi="Arial" w:cs="Arial"/>
          <w:color w:val="000000"/>
        </w:rPr>
        <w:t> </w:t>
      </w:r>
      <w:r>
        <w:rPr>
          <w:rFonts w:ascii="Arial" w:hAnsi="Arial" w:cs="Arial"/>
        </w:rPr>
        <w:t>Se aplicaron bonificaciones y descuentos por el pago de la Contribución Inmobiliaria Rural, excediendo la potestad tributaria departamental.</w:t>
      </w:r>
    </w:p>
    <w:p w:rsidR="00C93E22" w:rsidRDefault="00C93E22" w:rsidP="00C93E22">
      <w:pPr>
        <w:pStyle w:val="Prrafodelista"/>
        <w:rPr>
          <w:rFonts w:ascii="Arial" w:hAnsi="Arial" w:cs="Arial"/>
        </w:rPr>
      </w:pPr>
    </w:p>
    <w:p w:rsidR="00C93E22" w:rsidRDefault="00C93E22">
      <w:pPr>
        <w:pStyle w:val="NormalWeb"/>
        <w:numPr>
          <w:ilvl w:val="0"/>
          <w:numId w:val="2"/>
        </w:numPr>
        <w:shd w:val="clear" w:color="auto" w:fill="FFFFFF"/>
        <w:tabs>
          <w:tab w:val="clear" w:pos="720"/>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Artículos 4, 5 y 11 del TOCAF:</w:t>
      </w:r>
      <w:r>
        <w:rPr>
          <w:rFonts w:ascii="Arial" w:hAnsi="Arial" w:cs="Arial"/>
        </w:rPr>
        <w:t xml:space="preserve"> La Oficina de Montevideo de la Intendencia no deposita íntegramente la recaudación.</w:t>
      </w:r>
    </w:p>
    <w:p w:rsidR="00C93E22" w:rsidRDefault="00C93E22" w:rsidP="00C93E22">
      <w:pPr>
        <w:pStyle w:val="Prrafodelista"/>
        <w:rPr>
          <w:rFonts w:ascii="Arial" w:hAnsi="Arial" w:cs="Arial"/>
        </w:rPr>
      </w:pPr>
    </w:p>
    <w:p w:rsidR="00C93E22" w:rsidRDefault="00C93E22">
      <w:pPr>
        <w:pStyle w:val="NormalWeb"/>
        <w:numPr>
          <w:ilvl w:val="0"/>
          <w:numId w:val="2"/>
        </w:numPr>
        <w:shd w:val="clear" w:color="auto" w:fill="FFFFFF"/>
        <w:tabs>
          <w:tab w:val="clear" w:pos="720"/>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Artículos 14 del TOCAF:</w:t>
      </w:r>
      <w:r>
        <w:rPr>
          <w:rStyle w:val="apple-converted-space"/>
          <w:rFonts w:ascii="Arial" w:hAnsi="Arial" w:cs="Arial"/>
          <w:b/>
          <w:bCs/>
          <w:color w:val="000000"/>
        </w:rPr>
        <w:t> </w:t>
      </w:r>
      <w:r>
        <w:rPr>
          <w:rFonts w:ascii="Arial" w:hAnsi="Arial" w:cs="Arial"/>
        </w:rPr>
        <w:t>Se ejecutaron gastos que no fueron ordenados por la autoridad competente (Artículo 14). La Contadora Delegada observó gastos por este motivo.</w:t>
      </w:r>
    </w:p>
    <w:p w:rsidR="00C93E22" w:rsidRDefault="00C93E22" w:rsidP="00C93E22">
      <w:pPr>
        <w:pStyle w:val="Prrafodelista"/>
        <w:rPr>
          <w:rFonts w:ascii="Arial" w:hAnsi="Arial" w:cs="Arial"/>
        </w:rPr>
      </w:pPr>
    </w:p>
    <w:p w:rsidR="00C93E22" w:rsidRDefault="00C93E22">
      <w:pPr>
        <w:pStyle w:val="NormalWeb"/>
        <w:numPr>
          <w:ilvl w:val="0"/>
          <w:numId w:val="2"/>
        </w:numPr>
        <w:shd w:val="clear" w:color="auto" w:fill="FFFFFF"/>
        <w:tabs>
          <w:tab w:val="clear" w:pos="720"/>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 xml:space="preserve">Artículo 15 </w:t>
      </w:r>
      <w:r>
        <w:rPr>
          <w:rFonts w:ascii="Arial" w:hAnsi="Arial" w:cs="Arial"/>
          <w:b/>
          <w:bCs/>
          <w:color w:val="000000"/>
        </w:rPr>
        <w:t>del TOCAF:</w:t>
      </w:r>
      <w:r>
        <w:rPr>
          <w:rStyle w:val="apple-converted-space"/>
          <w:rFonts w:ascii="Arial" w:hAnsi="Arial" w:cs="Arial"/>
          <w:color w:val="000000"/>
        </w:rPr>
        <w:t> </w:t>
      </w:r>
      <w:r>
        <w:rPr>
          <w:rFonts w:ascii="Arial" w:hAnsi="Arial" w:cs="Arial"/>
        </w:rPr>
        <w:t>Se realizaron gastos sin contar con disponibilidad presupuestal, los que fueron observ</w:t>
      </w:r>
      <w:r w:rsidR="0055416F">
        <w:rPr>
          <w:rFonts w:ascii="Arial" w:hAnsi="Arial" w:cs="Arial"/>
        </w:rPr>
        <w:t>ados por la Contadora Delegada.</w:t>
      </w:r>
    </w:p>
    <w:p w:rsidR="00C93E22" w:rsidRDefault="00C93E22" w:rsidP="00C93E22">
      <w:pPr>
        <w:pStyle w:val="Prrafodelista"/>
        <w:rPr>
          <w:rFonts w:ascii="Arial" w:hAnsi="Arial" w:cs="Arial"/>
        </w:rPr>
      </w:pPr>
    </w:p>
    <w:p w:rsidR="00C93E22" w:rsidRPr="002966A8" w:rsidRDefault="00C93E22">
      <w:pPr>
        <w:pStyle w:val="NormalWeb"/>
        <w:numPr>
          <w:ilvl w:val="0"/>
          <w:numId w:val="2"/>
        </w:numPr>
        <w:shd w:val="clear" w:color="auto" w:fill="FFFFFF"/>
        <w:tabs>
          <w:tab w:val="clear" w:pos="720"/>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 xml:space="preserve">Artículo 33 del TOCAF: </w:t>
      </w:r>
      <w:r>
        <w:rPr>
          <w:rFonts w:ascii="Arial" w:hAnsi="Arial" w:cs="Arial"/>
          <w:bCs/>
        </w:rPr>
        <w:t>No se ha dado cumplimiento a esta norma, al efectuarse contrataciones y adquisiciones en forma directa, omitiéndose la aplicación de los procedimientos de contratación que hubieran correspondido de acuerdo al monto. La Contadora Delegada observó gastos por este motivo.</w:t>
      </w:r>
    </w:p>
    <w:p w:rsidR="00C93E22" w:rsidRDefault="00C93E22" w:rsidP="00C93E22">
      <w:pPr>
        <w:pStyle w:val="Prrafodelista"/>
        <w:rPr>
          <w:rFonts w:ascii="Arial" w:hAnsi="Arial" w:cs="Arial"/>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color w:val="000000"/>
        </w:rPr>
      </w:pPr>
      <w:r>
        <w:rPr>
          <w:rFonts w:ascii="Arial" w:hAnsi="Arial" w:cs="Arial"/>
          <w:b/>
          <w:bCs/>
        </w:rPr>
        <w:t xml:space="preserve">Artículo 84 del TOCAF: </w:t>
      </w:r>
      <w:r>
        <w:rPr>
          <w:rFonts w:ascii="Arial" w:hAnsi="Arial" w:cs="Arial"/>
          <w:color w:val="000000"/>
        </w:rPr>
        <w:t>El inventario presentado no tiene valuados los bienes propiedad de la Intendencia al 31 de diciembre de 2013.</w:t>
      </w:r>
    </w:p>
    <w:p w:rsidR="00C93E22" w:rsidRDefault="00C93E22" w:rsidP="00C93E22">
      <w:pPr>
        <w:pStyle w:val="Prrafodelista"/>
        <w:rPr>
          <w:rFonts w:ascii="Arial" w:hAnsi="Arial" w:cs="Arial"/>
          <w:color w:val="000000"/>
        </w:rPr>
      </w:pPr>
    </w:p>
    <w:p w:rsidR="00C93E22" w:rsidRDefault="00C93E22">
      <w:pPr>
        <w:pStyle w:val="NormalWeb"/>
        <w:numPr>
          <w:ilvl w:val="0"/>
          <w:numId w:val="2"/>
        </w:numPr>
        <w:shd w:val="clear" w:color="auto" w:fill="FFFFFF"/>
        <w:tabs>
          <w:tab w:val="clear" w:pos="720"/>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rPr>
        <w:t xml:space="preserve">Artículos </w:t>
      </w:r>
      <w:r>
        <w:rPr>
          <w:rFonts w:ascii="Arial" w:hAnsi="Arial" w:cs="Arial"/>
          <w:b/>
          <w:bCs/>
        </w:rPr>
        <w:t>90 y 154 del TOCAF:</w:t>
      </w:r>
      <w:r>
        <w:rPr>
          <w:rFonts w:ascii="Arial" w:hAnsi="Arial" w:cs="Arial"/>
          <w:b/>
        </w:rPr>
        <w:t xml:space="preserve"> </w:t>
      </w:r>
      <w:r>
        <w:rPr>
          <w:rFonts w:ascii="Arial" w:hAnsi="Arial" w:cs="Arial"/>
        </w:rPr>
        <w:t>La Administración no ha efectuado contrato  de fianza o seguro de caución de fidelidad respecto a todo funcionario que custodie fondos o valores.</w:t>
      </w:r>
    </w:p>
    <w:p w:rsidR="00C93E22" w:rsidRDefault="00C93E22" w:rsidP="00C93E22">
      <w:pPr>
        <w:pStyle w:val="Prrafodelista"/>
        <w:rPr>
          <w:rFonts w:ascii="Arial" w:hAnsi="Arial" w:cs="Arial"/>
        </w:rPr>
      </w:pPr>
    </w:p>
    <w:p w:rsidR="00C93E22" w:rsidRPr="00042FF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color w:val="000000"/>
        </w:rPr>
      </w:pPr>
      <w:r>
        <w:rPr>
          <w:rFonts w:ascii="Arial" w:hAnsi="Arial" w:cs="Arial"/>
          <w:b/>
          <w:bCs/>
          <w:kern w:val="1"/>
          <w:lang w:eastAsia="ar-SA"/>
        </w:rPr>
        <w:t>Artículo 102 Numeral 3) del TOCAF.</w:t>
      </w:r>
      <w:r>
        <w:rPr>
          <w:rFonts w:ascii="Arial" w:hAnsi="Arial" w:cs="Arial"/>
          <w:bCs/>
          <w:kern w:val="1"/>
          <w:lang w:eastAsia="ar-SA"/>
        </w:rPr>
        <w:t xml:space="preserve"> </w:t>
      </w:r>
      <w:r>
        <w:rPr>
          <w:rFonts w:ascii="Arial" w:hAnsi="Arial" w:cs="Arial"/>
        </w:rPr>
        <w:t>Al momento de comprometerse los gastos, no se realiza en todos los casos, la afectación previa de los objetos correspondientes.</w:t>
      </w:r>
    </w:p>
    <w:p w:rsidR="00042FF2" w:rsidRDefault="00042FF2" w:rsidP="00042FF2">
      <w:pPr>
        <w:pStyle w:val="Prrafodelista"/>
        <w:rPr>
          <w:rFonts w:ascii="Arial" w:hAnsi="Arial" w:cs="Arial"/>
          <w:color w:val="000000"/>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rPr>
      </w:pPr>
      <w:r>
        <w:rPr>
          <w:rFonts w:ascii="Arial" w:hAnsi="Arial" w:cs="Arial"/>
          <w:b/>
          <w:bCs/>
        </w:rPr>
        <w:t xml:space="preserve">Artículo 111 Numeral 6) del TOCAF: </w:t>
      </w:r>
      <w:r>
        <w:rPr>
          <w:rFonts w:ascii="Arial" w:hAnsi="Arial" w:cs="Arial"/>
        </w:rPr>
        <w:t>No fue posible coordinar con la Unidad de Auditoría Interna la planificación de actividades pues,</w:t>
      </w:r>
      <w:r>
        <w:rPr>
          <w:rFonts w:ascii="Arial" w:hAnsi="Arial" w:cs="Arial"/>
          <w:b/>
          <w:bCs/>
        </w:rPr>
        <w:t xml:space="preserve"> </w:t>
      </w:r>
      <w:r>
        <w:rPr>
          <w:rFonts w:ascii="Arial" w:hAnsi="Arial" w:cs="Arial"/>
        </w:rPr>
        <w:t>si bien en el Presupuesto Quinquenal se creó el cargo de Auditor Interno con los requisitos recomendados por el Tribunal de Cuentas, al 31 de diciembre de 2013 no se había implementado el funcionamiento de dicha Unidad.</w:t>
      </w:r>
    </w:p>
    <w:p w:rsidR="00C93E22" w:rsidRDefault="00C93E22" w:rsidP="00C93E22">
      <w:pPr>
        <w:pStyle w:val="NormalWeb"/>
        <w:shd w:val="clear" w:color="auto" w:fill="FFFFFF"/>
        <w:tabs>
          <w:tab w:val="left" w:pos="360"/>
          <w:tab w:val="left" w:pos="900"/>
        </w:tabs>
        <w:spacing w:before="0" w:beforeAutospacing="0" w:after="0" w:afterAutospacing="0" w:line="360" w:lineRule="auto"/>
        <w:jc w:val="both"/>
        <w:rPr>
          <w:rFonts w:ascii="Arial" w:hAnsi="Arial" w:cs="Arial"/>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rPr>
      </w:pPr>
      <w:r>
        <w:rPr>
          <w:rFonts w:ascii="Arial" w:hAnsi="Arial" w:cs="Arial"/>
          <w:b/>
          <w:bCs/>
        </w:rPr>
        <w:t xml:space="preserve">Artículo 32 de la Ley N° 11.923: </w:t>
      </w:r>
      <w:r>
        <w:rPr>
          <w:rFonts w:ascii="Arial" w:hAnsi="Arial" w:cs="Arial"/>
        </w:rPr>
        <w:t>Se incumple lo establecido en esta norma al celebrarse Contratos de arrendamiento de servicios con una person</w:t>
      </w:r>
      <w:r w:rsidR="00042FF2">
        <w:rPr>
          <w:rFonts w:ascii="Arial" w:hAnsi="Arial" w:cs="Arial"/>
        </w:rPr>
        <w:t>a que ocupa otro cargo público.</w:t>
      </w:r>
    </w:p>
    <w:p w:rsidR="00C93E22" w:rsidRDefault="00C93E22" w:rsidP="00C93E22">
      <w:pPr>
        <w:pStyle w:val="Prrafodelista"/>
        <w:rPr>
          <w:rFonts w:ascii="Arial" w:hAnsi="Arial" w:cs="Arial"/>
        </w:rPr>
      </w:pPr>
    </w:p>
    <w:p w:rsidR="00C93E22" w:rsidRPr="004132DA"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color w:val="000000"/>
        </w:rPr>
      </w:pPr>
      <w:r>
        <w:rPr>
          <w:rFonts w:ascii="Arial" w:hAnsi="Arial" w:cs="Arial"/>
          <w:b/>
          <w:lang w:val="es-MX"/>
        </w:rPr>
        <w:t>Artículo 3 de la Ley N° 17.829 con la redacción dada por el Artículo 107 de la Ley Nº 18.083:</w:t>
      </w:r>
      <w:r>
        <w:rPr>
          <w:rFonts w:ascii="Arial" w:hAnsi="Arial" w:cs="Arial"/>
          <w:b/>
          <w:color w:val="00B050"/>
          <w:lang w:val="es-MX"/>
        </w:rPr>
        <w:t xml:space="preserve"> </w:t>
      </w:r>
      <w:r>
        <w:rPr>
          <w:rFonts w:ascii="Arial" w:hAnsi="Arial" w:cs="Arial"/>
          <w:bCs/>
          <w:lang w:val="es-MX"/>
        </w:rPr>
        <w:t>S</w:t>
      </w:r>
      <w:r>
        <w:rPr>
          <w:rFonts w:ascii="Arial" w:hAnsi="Arial" w:cs="Arial"/>
          <w:lang w:val="es-ES_tradnl"/>
        </w:rPr>
        <w:t>e realizaron retenciones mayores al tope establecido por la citada norma, la cual establece que ninguna persona física podrá percibir por concepto de retribución o pasividad una cantidad</w:t>
      </w:r>
      <w:r>
        <w:rPr>
          <w:rFonts w:ascii="Arial" w:hAnsi="Arial" w:cs="Arial"/>
          <w:color w:val="FF0000"/>
          <w:lang w:val="es-ES_tradnl"/>
        </w:rPr>
        <w:t xml:space="preserve"> </w:t>
      </w:r>
      <w:r>
        <w:rPr>
          <w:rFonts w:ascii="Arial" w:hAnsi="Arial" w:cs="Arial"/>
          <w:lang w:val="es-ES_tradnl"/>
        </w:rPr>
        <w:t>en efectivo inferior al 30% de su sueldo nominal menos los impuestos y contribuciones de seguridad social.</w:t>
      </w:r>
    </w:p>
    <w:p w:rsidR="00C93E22" w:rsidRDefault="00C93E22" w:rsidP="00C93E22">
      <w:pPr>
        <w:pStyle w:val="NormalWeb"/>
        <w:shd w:val="clear" w:color="auto" w:fill="FFFFFF"/>
        <w:tabs>
          <w:tab w:val="left" w:pos="360"/>
          <w:tab w:val="left" w:pos="900"/>
        </w:tabs>
        <w:spacing w:before="0" w:beforeAutospacing="0" w:after="0" w:afterAutospacing="0" w:line="360" w:lineRule="auto"/>
        <w:jc w:val="both"/>
        <w:rPr>
          <w:rFonts w:ascii="Arial" w:hAnsi="Arial" w:cs="Arial"/>
          <w:color w:val="000000"/>
        </w:rPr>
      </w:pPr>
    </w:p>
    <w:p w:rsidR="00C93E22" w:rsidRDefault="00C93E22">
      <w:pPr>
        <w:pStyle w:val="Textoindependiente2"/>
        <w:numPr>
          <w:ilvl w:val="0"/>
          <w:numId w:val="2"/>
        </w:numPr>
        <w:tabs>
          <w:tab w:val="clear" w:pos="720"/>
          <w:tab w:val="num" w:pos="0"/>
          <w:tab w:val="left" w:pos="360"/>
        </w:tabs>
        <w:spacing w:line="360" w:lineRule="auto"/>
        <w:ind w:left="0" w:firstLine="0"/>
      </w:pPr>
      <w:r>
        <w:rPr>
          <w:rFonts w:eastAsia="Arial Unicode MS"/>
          <w:b/>
          <w:bCs/>
          <w:lang w:val="es-ES"/>
        </w:rPr>
        <w:t>Artículo 2 del Decreto 277/84 y Artículo 7 del Decreto 145/91:</w:t>
      </w:r>
      <w:r>
        <w:rPr>
          <w:rFonts w:eastAsia="Arial Unicode MS"/>
          <w:b/>
          <w:bCs/>
          <w:color w:val="00B050"/>
          <w:lang w:val="es-ES"/>
        </w:rPr>
        <w:t xml:space="preserve"> </w:t>
      </w:r>
      <w:r>
        <w:rPr>
          <w:rFonts w:eastAsia="Arial Unicode MS"/>
          <w:lang w:val="es-ES"/>
        </w:rPr>
        <w:t>E</w:t>
      </w:r>
      <w:r>
        <w:t>l titular de un cargo con Dedicación Total percibe otras compensaciones, incumpliendo lo establecido en las citadas norm</w:t>
      </w:r>
      <w:r w:rsidR="00042FF2">
        <w:t>as.</w:t>
      </w:r>
    </w:p>
    <w:p w:rsidR="00C93E22" w:rsidRPr="00042FF2" w:rsidRDefault="00C93E22" w:rsidP="00C93E22">
      <w:pPr>
        <w:pStyle w:val="Prrafodelista"/>
        <w:rPr>
          <w:lang w:val="es-MX"/>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rPr>
      </w:pPr>
      <w:r>
        <w:rPr>
          <w:rFonts w:ascii="Arial" w:hAnsi="Arial" w:cs="Arial"/>
          <w:b/>
          <w:bCs/>
        </w:rPr>
        <w:t>Artículo 43 del Decreto N° 272/95 Presupuesto 1995-1999:</w:t>
      </w:r>
      <w:r>
        <w:rPr>
          <w:rStyle w:val="apple-converted-space"/>
          <w:rFonts w:ascii="Arial" w:hAnsi="Arial" w:cs="Arial"/>
          <w:color w:val="000000"/>
        </w:rPr>
        <w:t> </w:t>
      </w:r>
      <w:r>
        <w:rPr>
          <w:rFonts w:ascii="Arial" w:hAnsi="Arial" w:cs="Arial"/>
        </w:rPr>
        <w:t>Para la liquidación de las horas extras no se aplica lo establecido en la citada norma.</w:t>
      </w:r>
      <w:bookmarkStart w:id="10" w:name="_Toc237403073"/>
      <w:bookmarkStart w:id="11" w:name="_Toc238544056"/>
      <w:bookmarkEnd w:id="10"/>
    </w:p>
    <w:p w:rsidR="00C93E22" w:rsidRDefault="00C93E22" w:rsidP="00C93E22">
      <w:pPr>
        <w:pStyle w:val="Prrafodelista"/>
        <w:rPr>
          <w:rFonts w:ascii="Arial" w:hAnsi="Arial" w:cs="Arial"/>
        </w:rPr>
      </w:pPr>
    </w:p>
    <w:bookmarkEnd w:id="11"/>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color w:val="000000"/>
        </w:rPr>
      </w:pPr>
      <w:r>
        <w:rPr>
          <w:rFonts w:ascii="Arial" w:hAnsi="Arial" w:cs="Arial"/>
          <w:b/>
          <w:bCs/>
          <w:color w:val="000000"/>
        </w:rPr>
        <w:t>Ordenanza N° 62 del Tribunal de Cuentas:</w:t>
      </w:r>
      <w:r>
        <w:rPr>
          <w:rStyle w:val="apple-converted-space"/>
          <w:rFonts w:ascii="Arial" w:hAnsi="Arial" w:cs="Arial"/>
          <w:b/>
          <w:bCs/>
          <w:color w:val="000000"/>
        </w:rPr>
        <w:t> </w:t>
      </w:r>
      <w:r>
        <w:rPr>
          <w:rFonts w:ascii="Arial" w:hAnsi="Arial" w:cs="Arial"/>
          <w:color w:val="000000"/>
        </w:rPr>
        <w:t>La Intendencia efectuó modificaciones de recursos sin el Dictam</w:t>
      </w:r>
      <w:r w:rsidR="00042FF2">
        <w:rPr>
          <w:rFonts w:ascii="Arial" w:hAnsi="Arial" w:cs="Arial"/>
          <w:color w:val="000000"/>
        </w:rPr>
        <w:t>en previo de este Tribunal.</w:t>
      </w:r>
    </w:p>
    <w:p w:rsidR="00C93E22" w:rsidRDefault="00C93E22" w:rsidP="00C93E22">
      <w:pPr>
        <w:pStyle w:val="Prrafodelista"/>
        <w:rPr>
          <w:rFonts w:ascii="Arial" w:hAnsi="Arial" w:cs="Arial"/>
          <w:color w:val="000000"/>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rPr>
      </w:pPr>
      <w:r>
        <w:rPr>
          <w:rFonts w:ascii="Arial" w:hAnsi="Arial" w:cs="Arial"/>
          <w:b/>
          <w:bCs/>
        </w:rPr>
        <w:t>Ordenanza Nº 81 del Tribunal de Cuentas: </w:t>
      </w:r>
      <w:r>
        <w:rPr>
          <w:rFonts w:ascii="Arial" w:hAnsi="Arial" w:cs="Arial"/>
        </w:rPr>
        <w:t>No fueron remitidos los estados contables exigidos por la citada norma.</w:t>
      </w:r>
    </w:p>
    <w:p w:rsidR="00C93E22" w:rsidRDefault="00C93E22" w:rsidP="00C93E22">
      <w:pPr>
        <w:pStyle w:val="Prrafodelista"/>
        <w:rPr>
          <w:rFonts w:ascii="Arial" w:hAnsi="Arial" w:cs="Arial"/>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szCs w:val="20"/>
        </w:rPr>
      </w:pPr>
      <w:r>
        <w:rPr>
          <w:rFonts w:ascii="Arial" w:hAnsi="Arial" w:cs="Arial"/>
          <w:b/>
        </w:rPr>
        <w:t xml:space="preserve">Resolución Departamental Nº 11.688/97: </w:t>
      </w:r>
      <w:r>
        <w:rPr>
          <w:rFonts w:ascii="Arial" w:hAnsi="Arial" w:cs="Arial"/>
        </w:rPr>
        <w:t xml:space="preserve">Se otorgaron ayudas sociales sin cumplir con </w:t>
      </w:r>
      <w:r>
        <w:rPr>
          <w:rFonts w:ascii="Arial" w:hAnsi="Arial" w:cs="Arial"/>
          <w:szCs w:val="20"/>
        </w:rPr>
        <w:t>la totalidad de los requisit</w:t>
      </w:r>
      <w:r w:rsidR="00042FF2">
        <w:rPr>
          <w:rFonts w:ascii="Arial" w:hAnsi="Arial" w:cs="Arial"/>
          <w:szCs w:val="20"/>
        </w:rPr>
        <w:t>os establecidos en la misma.</w:t>
      </w:r>
    </w:p>
    <w:p w:rsidR="00C93E22" w:rsidRDefault="00C93E22" w:rsidP="00C93E22">
      <w:pPr>
        <w:pStyle w:val="Prrafodelista"/>
        <w:rPr>
          <w:rFonts w:ascii="Arial" w:hAnsi="Arial" w:cs="Arial"/>
          <w:szCs w:val="20"/>
        </w:rPr>
      </w:pPr>
    </w:p>
    <w:p w:rsidR="00C93E22" w:rsidRDefault="00C93E22">
      <w:pPr>
        <w:pStyle w:val="NormalWeb"/>
        <w:numPr>
          <w:ilvl w:val="0"/>
          <w:numId w:val="2"/>
        </w:numPr>
        <w:shd w:val="clear" w:color="auto" w:fill="FFFFFF"/>
        <w:tabs>
          <w:tab w:val="clear" w:pos="720"/>
          <w:tab w:val="num" w:pos="0"/>
          <w:tab w:val="left" w:pos="360"/>
          <w:tab w:val="left" w:pos="900"/>
        </w:tabs>
        <w:spacing w:before="0" w:beforeAutospacing="0" w:after="0" w:afterAutospacing="0" w:line="360" w:lineRule="auto"/>
        <w:ind w:left="0" w:firstLine="0"/>
        <w:jc w:val="both"/>
        <w:rPr>
          <w:rFonts w:ascii="Arial" w:hAnsi="Arial" w:cs="Arial"/>
          <w:szCs w:val="20"/>
        </w:rPr>
      </w:pPr>
      <w:r>
        <w:rPr>
          <w:rFonts w:ascii="Arial" w:hAnsi="Arial" w:cs="Arial"/>
          <w:b/>
        </w:rPr>
        <w:t xml:space="preserve">Resolución </w:t>
      </w:r>
      <w:r>
        <w:rPr>
          <w:rFonts w:ascii="Arial" w:hAnsi="Arial" w:cs="Arial"/>
          <w:b/>
          <w:szCs w:val="20"/>
        </w:rPr>
        <w:t xml:space="preserve">Nº 276/05: </w:t>
      </w:r>
      <w:r>
        <w:rPr>
          <w:rFonts w:ascii="Arial" w:hAnsi="Arial" w:cs="Arial"/>
          <w:szCs w:val="20"/>
        </w:rPr>
        <w:t xml:space="preserve">Se incumple lo establecido en el Numeral 3) de dicha Resolución, al verificarse el no pago en fecha de dos cuotas consecutivas sin que se exija el pago inmediato de la totalidad de las obligaciones pendientes correspondientes a convenios </w:t>
      </w:r>
      <w:r w:rsidR="00042FF2">
        <w:rPr>
          <w:rFonts w:ascii="Arial" w:hAnsi="Arial" w:cs="Arial"/>
          <w:szCs w:val="20"/>
        </w:rPr>
        <w:t>tributarios con contribuyentes.</w:t>
      </w:r>
    </w:p>
    <w:p w:rsidR="00C93E22" w:rsidRDefault="00C93E22">
      <w:pPr>
        <w:pStyle w:val="NormalWeb"/>
        <w:shd w:val="clear" w:color="auto" w:fill="FFFFFF"/>
        <w:tabs>
          <w:tab w:val="left" w:pos="900"/>
          <w:tab w:val="num" w:pos="2150"/>
        </w:tabs>
        <w:spacing w:before="0" w:beforeAutospacing="0" w:after="0" w:afterAutospacing="0" w:line="360" w:lineRule="auto"/>
        <w:jc w:val="right"/>
        <w:rPr>
          <w:rFonts w:ascii="Arial" w:hAnsi="Arial" w:cs="Arial"/>
        </w:rPr>
      </w:pPr>
      <w:r>
        <w:rPr>
          <w:rFonts w:ascii="Arial" w:hAnsi="Arial" w:cs="Arial"/>
        </w:rPr>
        <w:t>Montevideo, 11 de noviembre de 2014</w:t>
      </w:r>
    </w:p>
    <w:p w:rsidR="00C93E22" w:rsidRDefault="00C93E22">
      <w:pPr>
        <w:pStyle w:val="Ttulo1"/>
        <w:spacing w:line="360" w:lineRule="auto"/>
        <w:jc w:val="center"/>
      </w:pPr>
    </w:p>
    <w:p w:rsidR="00C93E22" w:rsidRDefault="00C93E22">
      <w:pPr>
        <w:rPr>
          <w:lang w:val="es-MX"/>
        </w:rPr>
      </w:pPr>
    </w:p>
    <w:bookmarkEnd w:id="8"/>
    <w:bookmarkEnd w:id="9"/>
    <w:p w:rsidR="00C93E22" w:rsidRDefault="00C93E22">
      <w:pPr>
        <w:rPr>
          <w:lang w:val="es-MX"/>
        </w:rPr>
      </w:pPr>
    </w:p>
    <w:p w:rsidR="00C93E22" w:rsidRDefault="00C93E22">
      <w:pPr>
        <w:pStyle w:val="Ttulo1"/>
        <w:spacing w:line="360" w:lineRule="auto"/>
        <w:jc w:val="center"/>
      </w:pPr>
      <w:bookmarkStart w:id="12" w:name="_Toc366165599"/>
      <w:r>
        <w:t>INFORME A LA ADMINISTRACIÓN</w:t>
      </w:r>
      <w:bookmarkEnd w:id="12"/>
    </w:p>
    <w:p w:rsidR="00C93E22" w:rsidRDefault="00C93E22">
      <w:pPr>
        <w:rPr>
          <w:lang w:val="es-MX"/>
        </w:rPr>
      </w:pPr>
    </w:p>
    <w:p w:rsidR="00C93E22" w:rsidRDefault="00C93E22">
      <w:pPr>
        <w:spacing w:line="360" w:lineRule="auto"/>
        <w:jc w:val="both"/>
        <w:rPr>
          <w:color w:val="000000"/>
          <w:lang w:eastAsia="ar-SA"/>
        </w:rPr>
      </w:pPr>
      <w:r>
        <w:rPr>
          <w:color w:val="000000"/>
          <w:lang w:eastAsia="ar-SA"/>
        </w:rPr>
        <w:t>El Tribunal de Cuentas ha examinado la Rendición de Cuentas y Balance de Ejecución Presupuestal correspondiente al Ejercicio 2013 y ha emitido su correspondiente Dictamen.</w:t>
      </w:r>
    </w:p>
    <w:p w:rsidR="00C93E22" w:rsidRDefault="00C93E22">
      <w:pPr>
        <w:spacing w:line="360" w:lineRule="auto"/>
        <w:jc w:val="both"/>
        <w:rPr>
          <w:color w:val="000000"/>
          <w:lang w:eastAsia="ar-SA"/>
        </w:rPr>
      </w:pPr>
      <w:r>
        <w:rPr>
          <w:color w:val="000000"/>
          <w:lang w:eastAsia="ar-SA"/>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C93E22" w:rsidRDefault="00C93E22">
      <w:pPr>
        <w:pStyle w:val="Ttulo2"/>
        <w:tabs>
          <w:tab w:val="left" w:pos="0"/>
        </w:tabs>
        <w:overflowPunct w:val="0"/>
        <w:autoSpaceDE w:val="0"/>
        <w:autoSpaceDN w:val="0"/>
        <w:adjustRightInd w:val="0"/>
        <w:spacing w:before="0" w:after="0" w:line="360" w:lineRule="auto"/>
        <w:jc w:val="both"/>
        <w:textAlignment w:val="baseline"/>
        <w:rPr>
          <w:rFonts w:ascii="Arial" w:hAnsi="Arial" w:cs="Arial"/>
          <w:bCs w:val="0"/>
          <w:i w:val="0"/>
          <w:smallCaps/>
          <w:kern w:val="18"/>
          <w:sz w:val="24"/>
          <w:szCs w:val="24"/>
        </w:rPr>
      </w:pPr>
      <w:bookmarkStart w:id="13" w:name="_Toc237403075"/>
      <w:bookmarkStart w:id="14" w:name="_Toc238632386"/>
      <w:bookmarkStart w:id="15" w:name="_Toc239656361"/>
      <w:bookmarkStart w:id="16" w:name="_Toc241908834"/>
      <w:bookmarkStart w:id="17" w:name="_Toc309912372"/>
      <w:bookmarkEnd w:id="13"/>
    </w:p>
    <w:p w:rsidR="00C93E22" w:rsidRDefault="00C93E22">
      <w:pPr>
        <w:pStyle w:val="Ttulo2"/>
        <w:tabs>
          <w:tab w:val="left" w:pos="0"/>
        </w:tabs>
        <w:overflowPunct w:val="0"/>
        <w:autoSpaceDE w:val="0"/>
        <w:autoSpaceDN w:val="0"/>
        <w:adjustRightInd w:val="0"/>
        <w:spacing w:before="0" w:after="0" w:line="360" w:lineRule="auto"/>
        <w:jc w:val="both"/>
        <w:textAlignment w:val="baseline"/>
        <w:rPr>
          <w:rFonts w:ascii="Arial" w:hAnsi="Arial" w:cs="Arial"/>
          <w:bCs w:val="0"/>
          <w:i w:val="0"/>
          <w:smallCaps/>
          <w:kern w:val="18"/>
          <w:sz w:val="24"/>
          <w:szCs w:val="24"/>
        </w:rPr>
      </w:pPr>
      <w:bookmarkStart w:id="18" w:name="_Toc366165600"/>
      <w:r>
        <w:rPr>
          <w:rFonts w:ascii="Arial" w:hAnsi="Arial" w:cs="Arial"/>
          <w:bCs w:val="0"/>
          <w:i w:val="0"/>
          <w:smallCaps/>
          <w:kern w:val="18"/>
          <w:sz w:val="24"/>
          <w:szCs w:val="24"/>
        </w:rPr>
        <w:t>3.1 CONSTATACIONES QUE NO AFECTAN LA OPINIÓN DE LOS ESTADOS</w:t>
      </w:r>
      <w:bookmarkStart w:id="19" w:name="_Toc237403076"/>
      <w:bookmarkEnd w:id="19"/>
      <w:r>
        <w:rPr>
          <w:rFonts w:ascii="Arial" w:hAnsi="Arial" w:cs="Arial"/>
          <w:bCs w:val="0"/>
          <w:i w:val="0"/>
          <w:smallCaps/>
          <w:kern w:val="18"/>
          <w:sz w:val="24"/>
          <w:szCs w:val="24"/>
        </w:rPr>
        <w:t xml:space="preserve"> CONTABLES</w:t>
      </w:r>
      <w:bookmarkEnd w:id="14"/>
      <w:bookmarkEnd w:id="15"/>
      <w:bookmarkEnd w:id="16"/>
      <w:bookmarkEnd w:id="17"/>
      <w:bookmarkEnd w:id="18"/>
    </w:p>
    <w:p w:rsidR="00C93E22" w:rsidRPr="004C6531" w:rsidRDefault="00C93E22" w:rsidP="00C93E22"/>
    <w:p w:rsidR="00C93E22" w:rsidRDefault="00C93E22">
      <w:pPr>
        <w:pStyle w:val="Ttulo3"/>
      </w:pPr>
      <w:bookmarkStart w:id="20" w:name="_Toc309912374"/>
      <w:bookmarkStart w:id="21" w:name="_Toc366165601"/>
      <w:r>
        <w:t>3.1.1 Fondos Indisponibles</w:t>
      </w:r>
      <w:bookmarkEnd w:id="20"/>
      <w:bookmarkEnd w:id="21"/>
    </w:p>
    <w:p w:rsidR="00C93E22" w:rsidRPr="004C6531" w:rsidRDefault="00C93E22" w:rsidP="00C93E22">
      <w:pPr>
        <w:rPr>
          <w:lang w:val="es-MX"/>
        </w:rPr>
      </w:pPr>
    </w:p>
    <w:p w:rsidR="00C93E22" w:rsidRDefault="00C93E22">
      <w:pPr>
        <w:pStyle w:val="Textoindependiente"/>
        <w:rPr>
          <w:lang w:eastAsia="ar-SA"/>
        </w:rPr>
      </w:pPr>
      <w:r>
        <w:rPr>
          <w:lang w:eastAsia="ar-SA"/>
        </w:rPr>
        <w:t xml:space="preserve">Los fondos provenientes de INDA para los gastos de los comedores de Trinidad e Ismael Cortinas, son </w:t>
      </w:r>
      <w:proofErr w:type="spellStart"/>
      <w:r>
        <w:rPr>
          <w:lang w:eastAsia="ar-SA"/>
        </w:rPr>
        <w:t>extrapresupuestales</w:t>
      </w:r>
      <w:proofErr w:type="spellEnd"/>
      <w:r>
        <w:rPr>
          <w:lang w:eastAsia="ar-SA"/>
        </w:rPr>
        <w:t>. No obstante, en la Rendición de Cuentas presentada, se consideraron como indisponibles.</w:t>
      </w:r>
    </w:p>
    <w:p w:rsidR="00C93E22" w:rsidRDefault="00C93E22">
      <w:pPr>
        <w:pStyle w:val="Textoindependiente"/>
        <w:rPr>
          <w:color w:val="FF0000"/>
        </w:rPr>
      </w:pPr>
    </w:p>
    <w:p w:rsidR="00C93E22" w:rsidRPr="004C6531" w:rsidRDefault="00C93E22" w:rsidP="00C93E22">
      <w:pPr>
        <w:pStyle w:val="Ttulo3"/>
      </w:pPr>
      <w:bookmarkStart w:id="22" w:name="_Toc366165603"/>
      <w:r>
        <w:t>3.1.2 Ajustes a los resultados acumulados</w:t>
      </w:r>
      <w:bookmarkEnd w:id="22"/>
    </w:p>
    <w:p w:rsidR="00C93E22" w:rsidRDefault="00C93E22">
      <w:pPr>
        <w:spacing w:line="360" w:lineRule="auto"/>
        <w:jc w:val="both"/>
      </w:pPr>
      <w:r>
        <w:t>La Intendencia no ha tenido en cuenta los ajustes al resultado del           Ejercicio 2010, por $ 1.587.720, determinado en el Dictamen de la Rendición de Cuentas 2010 de la Intendencia. Al respecto, en el Dictamen correspondiente a la Rendición de Cuentas del Ejercicio 2012 se señaló que el resultado acumulado  (deficitario) al 31 de diciembre de 2012 ascendía a           $ 95.927.803. Asimismo, la Intendencia ajustó el déficit acumulado al 31/12/12, por un importe neto superavitario de $ 41.478.943. Este monto se compone de la condonación del 60% de la deuda con UTE y el ajuste de la misma por IPC. En consecuencia, el déficit acumulado al 31 de diciembre de 2013 asciende a     $ 29.274.491, en lugar de $ 27.686.771, monto expuesto por la Intendencia.</w:t>
      </w:r>
    </w:p>
    <w:p w:rsidR="00C93E22" w:rsidRDefault="00C93E22">
      <w:pPr>
        <w:spacing w:line="360" w:lineRule="auto"/>
        <w:jc w:val="both"/>
      </w:pPr>
    </w:p>
    <w:p w:rsidR="00C93E22" w:rsidRDefault="00C93E22">
      <w:pPr>
        <w:spacing w:line="360" w:lineRule="auto"/>
        <w:jc w:val="both"/>
        <w:rPr>
          <w:b/>
        </w:rPr>
      </w:pPr>
      <w:r>
        <w:rPr>
          <w:b/>
        </w:rPr>
        <w:t>3.1.3. Ajustes al Resultado del Ejercicio efectuados por la Intendencia</w:t>
      </w:r>
    </w:p>
    <w:p w:rsidR="00C93E22" w:rsidRDefault="00C93E22">
      <w:pPr>
        <w:spacing w:line="360" w:lineRule="auto"/>
        <w:jc w:val="both"/>
      </w:pPr>
      <w:r>
        <w:t>En el Estado Nº 2 “Resultado de Ejercicio” se exponen ajustes que ascienden a  $ 2.787.287, por los siguientes conceptos: diferencia de cambio por Convenio con el BHU, ajuste por IPC, por Convenio con ANTEL y ajuste por UI, por préstamo con el BROU. Al haberse efectuado los ajustes señalados directamente en el Estado de Resultado del Ejercicio, no se afectaron los respectivos objetos.</w:t>
      </w:r>
    </w:p>
    <w:p w:rsidR="00C93E22" w:rsidRDefault="00C93E22">
      <w:pPr>
        <w:spacing w:line="360" w:lineRule="auto"/>
        <w:jc w:val="both"/>
      </w:pPr>
    </w:p>
    <w:p w:rsidR="00C93E22" w:rsidRDefault="00C93E22">
      <w:pPr>
        <w:pStyle w:val="Ttulo2"/>
        <w:tabs>
          <w:tab w:val="left" w:pos="0"/>
        </w:tabs>
        <w:overflowPunct w:val="0"/>
        <w:autoSpaceDE w:val="0"/>
        <w:autoSpaceDN w:val="0"/>
        <w:adjustRightInd w:val="0"/>
        <w:spacing w:before="0" w:after="0" w:line="360" w:lineRule="auto"/>
        <w:jc w:val="both"/>
        <w:textAlignment w:val="baseline"/>
        <w:rPr>
          <w:rFonts w:ascii="Arial" w:hAnsi="Arial" w:cs="Arial"/>
          <w:bCs w:val="0"/>
          <w:i w:val="0"/>
          <w:smallCaps/>
          <w:kern w:val="18"/>
          <w:sz w:val="24"/>
          <w:szCs w:val="24"/>
        </w:rPr>
      </w:pPr>
      <w:bookmarkStart w:id="23" w:name="_Toc238632395"/>
      <w:bookmarkStart w:id="24" w:name="_Toc239656371"/>
      <w:bookmarkStart w:id="25" w:name="_Toc309912381"/>
      <w:bookmarkStart w:id="26" w:name="_Toc366165604"/>
      <w:r>
        <w:rPr>
          <w:rFonts w:ascii="Arial" w:hAnsi="Arial" w:cs="Arial"/>
          <w:bCs w:val="0"/>
          <w:i w:val="0"/>
          <w:smallCaps/>
          <w:kern w:val="18"/>
          <w:sz w:val="24"/>
          <w:szCs w:val="24"/>
        </w:rPr>
        <w:t>3.2 INCUMPLIMIENTOS DE NORMAS VIGENTES</w:t>
      </w:r>
      <w:bookmarkEnd w:id="23"/>
      <w:bookmarkEnd w:id="24"/>
      <w:bookmarkEnd w:id="25"/>
      <w:bookmarkEnd w:id="26"/>
    </w:p>
    <w:p w:rsidR="00C93E22" w:rsidRDefault="00C93E22">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Con relación al incumplimiento de normas aplicables, corresponde realiz</w:t>
      </w:r>
      <w:r w:rsidR="00042FF2">
        <w:rPr>
          <w:rFonts w:ascii="Arial" w:hAnsi="Arial" w:cs="Arial"/>
          <w:color w:val="000000"/>
        </w:rPr>
        <w:t>ar las siguientes precisiones:</w:t>
      </w:r>
    </w:p>
    <w:p w:rsidR="00C93E22" w:rsidRDefault="00C93E22">
      <w:pPr>
        <w:pStyle w:val="NormalWeb"/>
        <w:shd w:val="clear" w:color="auto" w:fill="FFFFFF"/>
        <w:spacing w:before="0" w:beforeAutospacing="0" w:after="0" w:afterAutospacing="0" w:line="360" w:lineRule="auto"/>
        <w:jc w:val="both"/>
        <w:rPr>
          <w:rFonts w:ascii="Arial" w:hAnsi="Arial" w:cs="Arial"/>
          <w:color w:val="000000"/>
        </w:rPr>
      </w:pPr>
    </w:p>
    <w:p w:rsidR="00C93E22" w:rsidRDefault="00C93E22">
      <w:pPr>
        <w:pStyle w:val="Ttulo3"/>
      </w:pPr>
      <w:bookmarkStart w:id="27" w:name="_Toc237403088"/>
      <w:bookmarkStart w:id="28" w:name="_Toc238632396"/>
      <w:bookmarkStart w:id="29" w:name="_Toc239656372"/>
      <w:bookmarkStart w:id="30" w:name="_Toc309912382"/>
      <w:bookmarkStart w:id="31" w:name="_Toc366165605"/>
      <w:bookmarkEnd w:id="27"/>
      <w:r>
        <w:t>3.2.1  Estructura orgánica</w:t>
      </w:r>
      <w:bookmarkEnd w:id="28"/>
      <w:bookmarkEnd w:id="29"/>
      <w:bookmarkEnd w:id="30"/>
      <w:bookmarkEnd w:id="31"/>
    </w:p>
    <w:p w:rsidR="00C93E22" w:rsidRDefault="00C93E22">
      <w:pPr>
        <w:pStyle w:val="Encabezado"/>
        <w:spacing w:line="360" w:lineRule="auto"/>
        <w:jc w:val="both"/>
        <w:rPr>
          <w:rFonts w:ascii="Arial" w:hAnsi="Arial" w:cs="Arial"/>
          <w:lang w:eastAsia="ar-SA"/>
        </w:rPr>
      </w:pPr>
      <w:r>
        <w:rPr>
          <w:rFonts w:ascii="Arial" w:hAnsi="Arial" w:cs="Arial"/>
          <w:lang w:eastAsia="ar-SA"/>
        </w:rPr>
        <w:t>La estructura de programas, escalafones y cargos no se ajustó en su totalidad a la estructura orgánica administrativa que fuera aprobada por la Junta Departamental en el Presupuesto Quinquenal vigente. No se cumplió con la estructura programática prevista y se designaron funcionarios para cargos contratados no previstos en el Presupuesto. Asimismo, se abonaron en algunos casos sueldos básicos que corresponden a grados más altos que el establecido en el padrón y/o en el legajo de cada funcionario, incumpliéndose con el Artículo 86 de la Constitución</w:t>
      </w:r>
      <w:r w:rsidR="00042FF2">
        <w:rPr>
          <w:rFonts w:ascii="Arial" w:hAnsi="Arial" w:cs="Arial"/>
          <w:lang w:eastAsia="ar-SA"/>
        </w:rPr>
        <w:t xml:space="preserve"> de la República.</w:t>
      </w:r>
    </w:p>
    <w:p w:rsidR="00C93E22" w:rsidRDefault="00C93E22">
      <w:pPr>
        <w:pStyle w:val="Encabezado"/>
        <w:spacing w:line="360" w:lineRule="auto"/>
        <w:jc w:val="both"/>
        <w:rPr>
          <w:rFonts w:ascii="Arial" w:hAnsi="Arial" w:cs="Arial"/>
          <w:lang w:eastAsia="ar-SA"/>
        </w:rPr>
      </w:pPr>
    </w:p>
    <w:p w:rsidR="00C93E22" w:rsidRDefault="00C93E22">
      <w:pPr>
        <w:pStyle w:val="Ttulo3"/>
      </w:pPr>
      <w:bookmarkStart w:id="32" w:name="_Toc237403089"/>
      <w:bookmarkStart w:id="33" w:name="_Toc238632397"/>
      <w:bookmarkStart w:id="34" w:name="_Toc239656373"/>
      <w:bookmarkStart w:id="35" w:name="_Toc309912383"/>
      <w:bookmarkStart w:id="36" w:name="_Toc366165606"/>
      <w:bookmarkEnd w:id="32"/>
      <w:r>
        <w:t>3.2.2  Partidas salariales no previstas en una instancia presupuestal</w:t>
      </w:r>
      <w:bookmarkEnd w:id="33"/>
      <w:bookmarkEnd w:id="34"/>
      <w:bookmarkEnd w:id="35"/>
      <w:bookmarkEnd w:id="36"/>
    </w:p>
    <w:p w:rsidR="00C93E22" w:rsidRDefault="00C93E22">
      <w:pPr>
        <w:spacing w:line="360" w:lineRule="auto"/>
        <w:jc w:val="both"/>
        <w:rPr>
          <w:color w:val="000000"/>
        </w:rPr>
      </w:pPr>
      <w:r>
        <w:rPr>
          <w:color w:val="000000"/>
        </w:rPr>
        <w:t>Se abonaron partidas a funcionarios por concepto de “compensaciones fijas”, que se otorgaron por “la realización de tareas de mayor responsabilidad a las asignadas al cargo”, las que fueron dispuestas por resoluciones dictadas por el Sr. Intendente. Estas partidas no fueron aprobadas por el Legislativo Departamental en una instancia presupuestal, incumpliendo el Artículo 86 de la Constitución de la República.</w:t>
      </w:r>
    </w:p>
    <w:p w:rsidR="00C93E22" w:rsidRDefault="00C93E22">
      <w:pPr>
        <w:spacing w:line="360" w:lineRule="auto"/>
        <w:jc w:val="both"/>
        <w:rPr>
          <w:color w:val="000000"/>
        </w:rPr>
      </w:pPr>
      <w:r>
        <w:rPr>
          <w:color w:val="000000"/>
        </w:rPr>
        <w:t>Al igual que en Ejercicios anteriores, se otorgó en el mes de agosto de 2013, una partida salarial de $ 1.000 a cada funcionario, tal como lo dispone el Artículo 14 del Decreto 552/2006 (Presupuesto 2006-2010). El segundo Inciso del citado Artículo establece que “la presente partida quedará supeditada al mejoramiento de los índices de gestión de la Administración cuya medición será oportunamente reglamentada”, lo cual no fue realizado.</w:t>
      </w:r>
    </w:p>
    <w:p w:rsidR="00C93E22" w:rsidRDefault="00C93E22">
      <w:pPr>
        <w:pStyle w:val="Ttulo3"/>
      </w:pPr>
      <w:bookmarkStart w:id="37" w:name="_Toc237403091"/>
      <w:bookmarkStart w:id="38" w:name="_Toc238632398"/>
      <w:bookmarkStart w:id="39" w:name="_Toc239656374"/>
      <w:bookmarkStart w:id="40" w:name="_Toc309912384"/>
      <w:bookmarkEnd w:id="37"/>
    </w:p>
    <w:p w:rsidR="00C93E22" w:rsidRDefault="00C93E22">
      <w:pPr>
        <w:pStyle w:val="Ttulo3"/>
      </w:pPr>
      <w:bookmarkStart w:id="41" w:name="_Toc366165607"/>
      <w:r>
        <w:t>3.2.3  Contribución inmobiliaria rural</w:t>
      </w:r>
      <w:bookmarkEnd w:id="38"/>
      <w:bookmarkEnd w:id="39"/>
      <w:bookmarkEnd w:id="40"/>
      <w:bookmarkEnd w:id="41"/>
    </w:p>
    <w:p w:rsidR="00C93E22" w:rsidRDefault="00C93E22">
      <w:pPr>
        <w:pStyle w:val="Textoindependiente21"/>
        <w:rPr>
          <w:lang w:val="es-MX"/>
        </w:rPr>
      </w:pPr>
      <w:r>
        <w:rPr>
          <w:lang w:val="es-MX"/>
        </w:rPr>
        <w:t xml:space="preserve">Durante el Ejercicio 2013 se aplicó para la Contribución Inmobiliaria Rural un descuento del 7% por pago total a la fecha de vencimiento de la 1ª cuota y una bonificación adicional del 6% para buenos pagadores que abonaran al contado al </w:t>
      </w:r>
      <w:r w:rsidR="00241F03">
        <w:rPr>
          <w:lang w:val="es-MX"/>
        </w:rPr>
        <w:t>vencimiento de la citada cuota.</w:t>
      </w:r>
    </w:p>
    <w:p w:rsidR="00C93E22" w:rsidRDefault="00C93E22">
      <w:pPr>
        <w:pStyle w:val="Textoindependiente21"/>
        <w:rPr>
          <w:lang w:val="es-MX"/>
        </w:rPr>
      </w:pPr>
      <w:r>
        <w:rPr>
          <w:lang w:val="es-MX"/>
        </w:rPr>
        <w:t>Estos descuentos y bonificaciones exceden la potestad tributaria del gobierno departamental (Artículo 297 de la Constitución de la República), por cuanto el citado Impuesto tiene origen legal de carácter nacional, siendo competencia del legislador nacional el establecimiento de tales bonific</w:t>
      </w:r>
      <w:r w:rsidR="00241F03">
        <w:rPr>
          <w:lang w:val="es-MX"/>
        </w:rPr>
        <w:t>aciones y descuentos.</w:t>
      </w:r>
    </w:p>
    <w:p w:rsidR="00C93E22" w:rsidRDefault="00C93E22">
      <w:pPr>
        <w:pStyle w:val="Textoindependiente21"/>
        <w:rPr>
          <w:lang w:val="es-MX"/>
        </w:rPr>
      </w:pPr>
    </w:p>
    <w:p w:rsidR="00C93E22" w:rsidRDefault="00C93E22">
      <w:pPr>
        <w:pStyle w:val="Ttulo3"/>
      </w:pPr>
      <w:bookmarkStart w:id="42" w:name="_Toc237403092"/>
      <w:bookmarkStart w:id="43" w:name="_Toc237403094"/>
      <w:bookmarkStart w:id="44" w:name="_Toc237403096"/>
      <w:bookmarkStart w:id="45" w:name="_Toc237403100"/>
      <w:bookmarkStart w:id="46" w:name="_Toc309912389"/>
      <w:bookmarkStart w:id="47" w:name="_Toc366165608"/>
      <w:bookmarkEnd w:id="42"/>
      <w:bookmarkEnd w:id="43"/>
      <w:bookmarkEnd w:id="44"/>
      <w:bookmarkEnd w:id="45"/>
      <w:r>
        <w:t>3.2.4  Liquidación de las horas extras</w:t>
      </w:r>
      <w:bookmarkEnd w:id="46"/>
      <w:bookmarkEnd w:id="47"/>
    </w:p>
    <w:p w:rsidR="00C93E22" w:rsidRDefault="00C93E22">
      <w:pPr>
        <w:pStyle w:val="Textoindependiente"/>
        <w:rPr>
          <w:bCs/>
          <w:lang w:eastAsia="ar-SA"/>
        </w:rPr>
      </w:pPr>
      <w:r>
        <w:rPr>
          <w:bCs/>
          <w:lang w:eastAsia="ar-SA"/>
        </w:rPr>
        <w:t>Para la liquidación de las horas extras se consideró un valor fijo por hora para todos los funcionarios, independientemente del sueldo correspondiente, incumpliendo lo establecido por el Artículo 43 del Decreto Departamental          Nº 272/95 (Presupuesto Quinquenal 1995-1999). Este Artículo establece que el importe a pagar por concepto de horas extras, se liquidará en días hábiles como hora normal y en días feriados o de asueto semanal con un incremento del 25% sobre el valor de las horas en día laboral.</w:t>
      </w:r>
    </w:p>
    <w:p w:rsidR="00C93E22" w:rsidRDefault="00C93E22">
      <w:pPr>
        <w:pStyle w:val="Textoindependiente"/>
        <w:rPr>
          <w:bCs/>
          <w:lang w:eastAsia="ar-SA"/>
        </w:rPr>
      </w:pPr>
    </w:p>
    <w:p w:rsidR="00C93E22" w:rsidRDefault="00C93E22">
      <w:pPr>
        <w:pStyle w:val="Ttulo3"/>
      </w:pPr>
      <w:bookmarkStart w:id="48" w:name="_Toc309912390"/>
      <w:bookmarkStart w:id="49" w:name="_Toc366165609"/>
      <w:r>
        <w:t>3.2.5 Modificaciones de recursos</w:t>
      </w:r>
      <w:bookmarkEnd w:id="48"/>
      <w:bookmarkEnd w:id="49"/>
    </w:p>
    <w:p w:rsidR="00C93E22" w:rsidRDefault="00C93E22">
      <w:pPr>
        <w:tabs>
          <w:tab w:val="left" w:pos="0"/>
          <w:tab w:val="left" w:pos="284"/>
        </w:tabs>
        <w:spacing w:line="360" w:lineRule="auto"/>
        <w:jc w:val="both"/>
      </w:pPr>
      <w:r>
        <w:t>En el Ejercicio 2013 se promulgaron los Decretos Nº 0815, 0816 y 0818 referidos a exoneraciones del pago de tasas por aprobación de planos referentes a los permisos de construcción de las obras a realizar en diferentes padrones de la ciudad de Trinidad, sin haberse dado cumplimiento al trámite establecido en la Ordenanza Nº 62 del Tribunal de Cuentas.</w:t>
      </w:r>
    </w:p>
    <w:p w:rsidR="00C93E22" w:rsidRDefault="00C93E22">
      <w:pPr>
        <w:spacing w:line="360" w:lineRule="auto"/>
        <w:jc w:val="both"/>
      </w:pPr>
    </w:p>
    <w:p w:rsidR="00C93E22" w:rsidRDefault="00C93E22">
      <w:pPr>
        <w:pStyle w:val="Ttulo3"/>
      </w:pPr>
      <w:bookmarkStart w:id="50" w:name="_Toc309912391"/>
      <w:bookmarkStart w:id="51" w:name="_Toc366165610"/>
      <w:r>
        <w:t>3.2.6 Ayudas Sociales</w:t>
      </w:r>
      <w:bookmarkEnd w:id="50"/>
      <w:bookmarkEnd w:id="51"/>
    </w:p>
    <w:p w:rsidR="00C93E22" w:rsidRDefault="00C93E22">
      <w:pPr>
        <w:pStyle w:val="Textoindependiente21"/>
        <w:rPr>
          <w:szCs w:val="20"/>
          <w:lang w:val="es-UY"/>
        </w:rPr>
      </w:pPr>
      <w:r>
        <w:t>Se</w:t>
      </w:r>
      <w:r>
        <w:rPr>
          <w:szCs w:val="20"/>
        </w:rPr>
        <w:t xml:space="preserve"> otorgaron ayudas sociales sin que conste prueba fehaciente del cumplimiento de la totalidad de los requisitos establecidos en la Resolución          </w:t>
      </w:r>
      <w:r>
        <w:rPr>
          <w:bCs/>
        </w:rPr>
        <w:t>N</w:t>
      </w:r>
      <w:r>
        <w:t>º</w:t>
      </w:r>
      <w:r>
        <w:rPr>
          <w:szCs w:val="20"/>
        </w:rPr>
        <w:t xml:space="preserve"> 11.688</w:t>
      </w:r>
      <w:r>
        <w:rPr>
          <w:szCs w:val="20"/>
          <w:lang w:val="es-UY"/>
        </w:rPr>
        <w:t>/97.</w:t>
      </w:r>
    </w:p>
    <w:p w:rsidR="00C93E22" w:rsidRDefault="00C93E22">
      <w:pPr>
        <w:pStyle w:val="Textoindependiente21"/>
        <w:rPr>
          <w:szCs w:val="20"/>
        </w:rPr>
      </w:pPr>
      <w:r>
        <w:rPr>
          <w:szCs w:val="20"/>
          <w:lang w:val="es-UY"/>
        </w:rPr>
        <w:t>Entre ellos, debe incluirse un certificado notarial referente a la</w:t>
      </w:r>
      <w:r>
        <w:rPr>
          <w:szCs w:val="20"/>
        </w:rPr>
        <w:t xml:space="preserve"> calidad de propietario del beneficiario respecto del bien sobre el que se otorga dicha ayuda, o la cesión del mismo en uso o comodato por un plazo mayor a 15 años. Asimismo, no existe la constancia de que no se hayan otorgado otro tipo de ayudas sociales al mismo beneficiario en el correr del último año tal como lo establece el Artículo 8 de la referida Resolución.</w:t>
      </w:r>
    </w:p>
    <w:p w:rsidR="00C93E22" w:rsidRDefault="00C93E22">
      <w:pPr>
        <w:pStyle w:val="Textoindependiente21"/>
        <w:rPr>
          <w:szCs w:val="20"/>
        </w:rPr>
      </w:pPr>
    </w:p>
    <w:p w:rsidR="00C93E22" w:rsidRDefault="00C93E22">
      <w:pPr>
        <w:pStyle w:val="Ttulo3"/>
      </w:pPr>
      <w:bookmarkStart w:id="52" w:name="_Toc309912393"/>
      <w:bookmarkStart w:id="53" w:name="_Toc366165611"/>
      <w:r>
        <w:t>3.2.7 Caducidad de Convenios</w:t>
      </w:r>
      <w:bookmarkEnd w:id="52"/>
      <w:bookmarkEnd w:id="53"/>
    </w:p>
    <w:p w:rsidR="00C93E22" w:rsidRDefault="00C93E22">
      <w:pPr>
        <w:spacing w:line="360" w:lineRule="auto"/>
        <w:jc w:val="both"/>
        <w:rPr>
          <w:lang w:val="es-MX"/>
        </w:rPr>
      </w:pPr>
      <w:r>
        <w:rPr>
          <w:szCs w:val="20"/>
        </w:rPr>
        <w:t xml:space="preserve">La Resolución Nº 276/05 establece que no se podrán conceder facilidades de pago a aquellos contribuyentes que tuvieran convenios incumplidos, y que los mismos caducarán por el no pago en fecha de dos cuotas consecutivas y por el no cumplimiento regular de los tributos generados en el transcurso del convenio celebrado, en cuyo caso se exigirá el pago inmediato de la totalidad de las obligaciones pendientes. Al igual que en Ejercicios anteriores, se constataron </w:t>
      </w:r>
      <w:r>
        <w:rPr>
          <w:lang w:val="es-MX"/>
        </w:rPr>
        <w:t>casos en los que están vigentes convenios que deberían caducar y exigirse el pago de la totalidad de la deuda.</w:t>
      </w:r>
    </w:p>
    <w:p w:rsidR="00C93E22" w:rsidRDefault="00C93E22">
      <w:pPr>
        <w:spacing w:line="360" w:lineRule="auto"/>
        <w:jc w:val="both"/>
        <w:rPr>
          <w:lang w:val="es-MX"/>
        </w:rPr>
      </w:pPr>
    </w:p>
    <w:p w:rsidR="00C93E22" w:rsidRDefault="00C93E22">
      <w:pPr>
        <w:pStyle w:val="Ttulo2"/>
        <w:numPr>
          <w:ilvl w:val="1"/>
          <w:numId w:val="4"/>
        </w:numPr>
        <w:tabs>
          <w:tab w:val="left" w:pos="0"/>
        </w:tabs>
        <w:overflowPunct w:val="0"/>
        <w:autoSpaceDE w:val="0"/>
        <w:autoSpaceDN w:val="0"/>
        <w:adjustRightInd w:val="0"/>
        <w:spacing w:before="0" w:after="0" w:line="360" w:lineRule="auto"/>
        <w:jc w:val="both"/>
        <w:textAlignment w:val="baseline"/>
        <w:rPr>
          <w:rFonts w:ascii="Arial" w:hAnsi="Arial" w:cs="Arial"/>
          <w:i w:val="0"/>
          <w:iCs w:val="0"/>
          <w:sz w:val="24"/>
        </w:rPr>
      </w:pPr>
      <w:bookmarkStart w:id="54" w:name="_Toc309912394"/>
      <w:bookmarkStart w:id="55" w:name="_Toc366165612"/>
      <w:r>
        <w:rPr>
          <w:rFonts w:ascii="Arial" w:hAnsi="Arial" w:cs="Arial"/>
          <w:i w:val="0"/>
          <w:iCs w:val="0"/>
          <w:sz w:val="24"/>
        </w:rPr>
        <w:t>Debilidades de Control Interno</w:t>
      </w:r>
      <w:bookmarkEnd w:id="54"/>
      <w:bookmarkEnd w:id="55"/>
    </w:p>
    <w:p w:rsidR="00C93E22" w:rsidRDefault="00C93E22"/>
    <w:p w:rsidR="00C93E22" w:rsidRDefault="00C93E22">
      <w:pPr>
        <w:pStyle w:val="Ttulo3"/>
      </w:pPr>
      <w:bookmarkStart w:id="56" w:name="_Toc309912395"/>
      <w:bookmarkStart w:id="57" w:name="_Toc366165613"/>
      <w:r>
        <w:t>3.3.1  Respecto a recursos o manejo de fondos:</w:t>
      </w:r>
      <w:bookmarkEnd w:id="56"/>
      <w:bookmarkEnd w:id="57"/>
    </w:p>
    <w:p w:rsidR="00C93E22" w:rsidRDefault="00C93E22">
      <w:pPr>
        <w:numPr>
          <w:ilvl w:val="0"/>
          <w:numId w:val="3"/>
        </w:numPr>
        <w:spacing w:line="360" w:lineRule="auto"/>
        <w:jc w:val="both"/>
        <w:rPr>
          <w:lang w:val="es-MX"/>
        </w:rPr>
      </w:pPr>
      <w:r>
        <w:rPr>
          <w:lang w:val="es-MX"/>
        </w:rPr>
        <w:t>No se dispone de un compendio normativo actualizado de la totalidad de las normas tributarias vigentes.</w:t>
      </w:r>
    </w:p>
    <w:p w:rsidR="00C93E22" w:rsidRDefault="00C93E22">
      <w:pPr>
        <w:numPr>
          <w:ilvl w:val="0"/>
          <w:numId w:val="3"/>
        </w:numPr>
        <w:spacing w:line="360" w:lineRule="auto"/>
        <w:jc w:val="both"/>
        <w:rPr>
          <w:lang w:val="es-MX"/>
        </w:rPr>
      </w:pPr>
      <w:r>
        <w:rPr>
          <w:lang w:val="es-MX"/>
        </w:rPr>
        <w:t>No se realiza un seguimiento de los convenios otorgados a contribuyentes morosos.</w:t>
      </w:r>
    </w:p>
    <w:p w:rsidR="00C93E22" w:rsidRDefault="00C93E22">
      <w:pPr>
        <w:numPr>
          <w:ilvl w:val="0"/>
          <w:numId w:val="3"/>
        </w:numPr>
        <w:spacing w:line="360" w:lineRule="auto"/>
        <w:jc w:val="both"/>
        <w:rPr>
          <w:lang w:val="es-MX"/>
        </w:rPr>
      </w:pPr>
      <w:r>
        <w:rPr>
          <w:lang w:val="es-MX"/>
        </w:rPr>
        <w:t>En las actas de arqueo de las cajas chicas se constató, en algunos casos, la ausencia de fecha y detalle de dichos comprobantes pendientes de descargo, lo que impide verificar la antigüedad de los mismos.</w:t>
      </w:r>
    </w:p>
    <w:p w:rsidR="00C93E22" w:rsidRDefault="00C93E22">
      <w:pPr>
        <w:spacing w:line="360" w:lineRule="auto"/>
        <w:ind w:left="284"/>
        <w:jc w:val="both"/>
        <w:rPr>
          <w:lang w:val="es-MX"/>
        </w:rPr>
      </w:pPr>
    </w:p>
    <w:p w:rsidR="00C93E22" w:rsidRDefault="00C93E22">
      <w:pPr>
        <w:pStyle w:val="Ttulo3"/>
      </w:pPr>
      <w:bookmarkStart w:id="58" w:name="_Toc309912396"/>
      <w:bookmarkStart w:id="59" w:name="_Toc366165614"/>
      <w:r>
        <w:t>3.3.2  Respecto al área de Sueldos:</w:t>
      </w:r>
      <w:bookmarkEnd w:id="58"/>
      <w:bookmarkEnd w:id="59"/>
    </w:p>
    <w:p w:rsidR="00C93E22" w:rsidRDefault="00C93E22">
      <w:pPr>
        <w:pStyle w:val="Textoindependiente"/>
        <w:ind w:left="644"/>
        <w:rPr>
          <w:bCs/>
          <w:lang w:eastAsia="ar-SA"/>
        </w:rPr>
      </w:pPr>
      <w:r>
        <w:rPr>
          <w:bCs/>
          <w:lang w:eastAsia="ar-SA"/>
        </w:rPr>
        <w:t>No se cuenta con un compendio normativo actualizado que incluya las normas presupuestales de la totalidad de las partidas de carácter        salarial abonadas.</w:t>
      </w:r>
    </w:p>
    <w:p w:rsidR="00C93E22" w:rsidRDefault="00C93E22">
      <w:pPr>
        <w:pStyle w:val="Textoindependiente"/>
        <w:ind w:left="644"/>
        <w:rPr>
          <w:i/>
          <w:lang w:val="es-MX"/>
        </w:rPr>
      </w:pPr>
      <w:r>
        <w:rPr>
          <w:lang w:eastAsia="ar-SA"/>
        </w:rPr>
        <w:t xml:space="preserve"> </w:t>
      </w:r>
    </w:p>
    <w:p w:rsidR="00C93E22" w:rsidRDefault="00C93E22">
      <w:pPr>
        <w:pStyle w:val="Textoindependiente"/>
        <w:ind w:left="284"/>
        <w:rPr>
          <w:i/>
          <w:lang w:val="es-MX"/>
        </w:rPr>
      </w:pPr>
    </w:p>
    <w:p w:rsidR="00C93E22" w:rsidRDefault="00C93E22">
      <w:pPr>
        <w:pStyle w:val="Ttulo3"/>
      </w:pPr>
      <w:bookmarkStart w:id="60" w:name="_Toc309912397"/>
      <w:bookmarkStart w:id="61" w:name="_Toc366165615"/>
      <w:r>
        <w:t>3.3.3  Respecto al área de Compras:</w:t>
      </w:r>
      <w:bookmarkEnd w:id="60"/>
      <w:bookmarkEnd w:id="61"/>
    </w:p>
    <w:p w:rsidR="00C93E22" w:rsidRDefault="00C93E22" w:rsidP="00C93E22">
      <w:pPr>
        <w:pStyle w:val="Textoindependiente"/>
        <w:numPr>
          <w:ilvl w:val="0"/>
          <w:numId w:val="5"/>
        </w:numPr>
        <w:rPr>
          <w:bCs/>
          <w:lang w:eastAsia="ar-SA"/>
        </w:rPr>
      </w:pPr>
      <w:r>
        <w:rPr>
          <w:bCs/>
          <w:lang w:eastAsia="ar-SA"/>
        </w:rPr>
        <w:t>No todos los gastos ejecutados cuentan con la autorización respectiva y se pagan ser</w:t>
      </w:r>
      <w:r w:rsidR="00241F03">
        <w:rPr>
          <w:bCs/>
          <w:lang w:eastAsia="ar-SA"/>
        </w:rPr>
        <w:t>vicios que carecen de Contrato.</w:t>
      </w:r>
    </w:p>
    <w:p w:rsidR="00C93E22" w:rsidRDefault="00C93E22" w:rsidP="00C93E22">
      <w:pPr>
        <w:pStyle w:val="Textoindependiente"/>
        <w:numPr>
          <w:ilvl w:val="0"/>
          <w:numId w:val="5"/>
        </w:numPr>
        <w:rPr>
          <w:bCs/>
          <w:lang w:eastAsia="ar-SA"/>
        </w:rPr>
      </w:pPr>
      <w:r>
        <w:rPr>
          <w:bCs/>
          <w:lang w:eastAsia="ar-SA"/>
        </w:rPr>
        <w:t>La Sección Almacenes no tiene a cargo la recepción de la totalidad de los bienes que se compran para controlar la</w:t>
      </w:r>
      <w:r w:rsidR="00D56E0C">
        <w:rPr>
          <w:bCs/>
          <w:lang w:eastAsia="ar-SA"/>
        </w:rPr>
        <w:t xml:space="preserve"> cantidad y calidad requeridas.</w:t>
      </w:r>
    </w:p>
    <w:p w:rsidR="00C93E22" w:rsidRDefault="00C93E22" w:rsidP="00C93E22">
      <w:pPr>
        <w:pStyle w:val="Textoindependiente"/>
        <w:numPr>
          <w:ilvl w:val="0"/>
          <w:numId w:val="5"/>
        </w:numPr>
        <w:rPr>
          <w:bCs/>
          <w:lang w:eastAsia="ar-SA"/>
        </w:rPr>
      </w:pPr>
      <w:r>
        <w:rPr>
          <w:bCs/>
          <w:lang w:eastAsia="ar-SA"/>
        </w:rPr>
        <w:t>La Intendencia no realiza circularización de saldos a acreedores.</w:t>
      </w:r>
    </w:p>
    <w:p w:rsidR="00C93E22" w:rsidRDefault="00C93E22" w:rsidP="00C93E22">
      <w:pPr>
        <w:numPr>
          <w:ilvl w:val="0"/>
          <w:numId w:val="5"/>
        </w:numPr>
        <w:spacing w:line="360" w:lineRule="auto"/>
        <w:jc w:val="both"/>
        <w:rPr>
          <w:lang w:eastAsia="ar-SA"/>
        </w:rPr>
      </w:pPr>
      <w:r>
        <w:rPr>
          <w:lang w:eastAsia="ar-SA"/>
        </w:rPr>
        <w:t>La información listada por el sistema informático de contabilidad presupuestal en cuanto a facturas sin órdenes de compra ni afectación previa incluye compras respaldadas por resoluciones o expedientes con autorización del ordenador primario.</w:t>
      </w:r>
    </w:p>
    <w:p w:rsidR="00C93E22" w:rsidRDefault="00C93E22">
      <w:pPr>
        <w:pStyle w:val="Ttulo2"/>
        <w:rPr>
          <w:rFonts w:ascii="Arial" w:hAnsi="Arial"/>
          <w:i w:val="0"/>
          <w:iCs w:val="0"/>
          <w:sz w:val="24"/>
        </w:rPr>
      </w:pPr>
      <w:r>
        <w:rPr>
          <w:rFonts w:ascii="Arial" w:hAnsi="Arial"/>
          <w:i w:val="0"/>
          <w:iCs w:val="0"/>
          <w:sz w:val="24"/>
        </w:rPr>
        <w:t xml:space="preserve">3.4 </w:t>
      </w:r>
      <w:bookmarkStart w:id="62" w:name="_Toc309912398"/>
      <w:bookmarkStart w:id="63" w:name="_Toc366165616"/>
      <w:r>
        <w:rPr>
          <w:rFonts w:ascii="Arial" w:hAnsi="Arial"/>
          <w:i w:val="0"/>
          <w:iCs w:val="0"/>
          <w:sz w:val="24"/>
        </w:rPr>
        <w:t>RECOMENDACIONES</w:t>
      </w:r>
      <w:bookmarkEnd w:id="62"/>
      <w:bookmarkEnd w:id="63"/>
    </w:p>
    <w:p w:rsidR="00C93E22" w:rsidRDefault="00C93E22">
      <w:pPr>
        <w:pStyle w:val="Ttulo2"/>
        <w:spacing w:line="360" w:lineRule="auto"/>
        <w:rPr>
          <w:rFonts w:ascii="Arial" w:hAnsi="Arial" w:cs="Arial"/>
          <w:bCs w:val="0"/>
          <w:i w:val="0"/>
          <w:iCs w:val="0"/>
          <w:kern w:val="18"/>
          <w:sz w:val="24"/>
        </w:rPr>
      </w:pPr>
      <w:bookmarkStart w:id="64" w:name="_Toc309912399"/>
      <w:bookmarkStart w:id="65" w:name="_Toc366165617"/>
      <w:r>
        <w:rPr>
          <w:rFonts w:ascii="Arial" w:hAnsi="Arial" w:cs="Arial"/>
          <w:bCs w:val="0"/>
          <w:i w:val="0"/>
          <w:iCs w:val="0"/>
          <w:kern w:val="18"/>
          <w:sz w:val="24"/>
        </w:rPr>
        <w:t>3.4.1 Recomendaciones del Ejercicio anterior cumplidas</w:t>
      </w:r>
      <w:bookmarkEnd w:id="64"/>
      <w:bookmarkEnd w:id="65"/>
    </w:p>
    <w:p w:rsidR="00C93E22" w:rsidRDefault="00C93E22">
      <w:pPr>
        <w:pStyle w:val="Ttulo3"/>
      </w:pPr>
      <w:r>
        <w:t>3.4.1.1  Intervención preventiva de gastos  y pagos</w:t>
      </w:r>
    </w:p>
    <w:p w:rsidR="00C93E22" w:rsidRDefault="00C93E22">
      <w:pPr>
        <w:pStyle w:val="Textoindependiente"/>
      </w:pPr>
      <w:r>
        <w:t>Los gastos y pagos de la Intendencia fueron sometidos a la intervención preventiva del Tribunal de Cuentas, tal como lo establece el Artículo 211      Literal B) de la Constitución de la República. Asimismo, la documentación de los pagos o entregas de dinero efectuadas por la Tesorería, fue intervenida previamente por el órgano de control (Artículo 87 del TOCAF).</w:t>
      </w:r>
    </w:p>
    <w:p w:rsidR="00C93E22" w:rsidRDefault="00C93E22">
      <w:pPr>
        <w:pStyle w:val="Ttulo3"/>
      </w:pPr>
    </w:p>
    <w:p w:rsidR="00C93E22" w:rsidRDefault="00C93E22">
      <w:pPr>
        <w:pStyle w:val="Ttulo3"/>
      </w:pPr>
      <w:r>
        <w:t>3.4.1.2 Imputación de gastos</w:t>
      </w:r>
    </w:p>
    <w:p w:rsidR="00C93E22" w:rsidRDefault="00C93E22">
      <w:pPr>
        <w:spacing w:line="360" w:lineRule="auto"/>
        <w:jc w:val="both"/>
      </w:pPr>
      <w:r>
        <w:t>Los gastos se imputaron a los objetos correspondientes, tal como lo dispone el Artículo 16 de</w:t>
      </w:r>
      <w:r w:rsidR="00241F03">
        <w:t>l TOCAF.</w:t>
      </w:r>
    </w:p>
    <w:p w:rsidR="00C93E22" w:rsidRDefault="00C93E22"/>
    <w:p w:rsidR="00C93E22" w:rsidRDefault="00C93E22">
      <w:pPr>
        <w:pStyle w:val="Ttulo2"/>
        <w:spacing w:before="0" w:after="0" w:line="360" w:lineRule="auto"/>
        <w:rPr>
          <w:rFonts w:ascii="Arial" w:hAnsi="Arial"/>
          <w:i w:val="0"/>
          <w:iCs w:val="0"/>
          <w:sz w:val="24"/>
        </w:rPr>
      </w:pPr>
      <w:bookmarkStart w:id="66" w:name="_Toc309912401"/>
      <w:bookmarkStart w:id="67" w:name="_Toc366165620"/>
      <w:r>
        <w:rPr>
          <w:rFonts w:ascii="Arial" w:hAnsi="Arial"/>
          <w:i w:val="0"/>
          <w:iCs w:val="0"/>
          <w:sz w:val="24"/>
        </w:rPr>
        <w:t>3.4.2 Recomendaciones del Ejercicio anterior no cumplidas</w:t>
      </w:r>
      <w:bookmarkEnd w:id="66"/>
      <w:bookmarkEnd w:id="67"/>
    </w:p>
    <w:p w:rsidR="00C93E22" w:rsidRDefault="00C93E22"/>
    <w:p w:rsidR="00C93E22" w:rsidRDefault="00C93E22">
      <w:pPr>
        <w:pStyle w:val="Ttulo3"/>
      </w:pPr>
      <w:bookmarkStart w:id="68" w:name="_Toc366165621"/>
      <w:r>
        <w:t xml:space="preserve">3.4.2.1 Estructura orgánica </w:t>
      </w:r>
      <w:bookmarkStart w:id="69" w:name="_Toc176087846"/>
      <w:bookmarkStart w:id="70" w:name="_Toc178495865"/>
      <w:r>
        <w:t>y partidas salariales no previstas presupuestalmente</w:t>
      </w:r>
      <w:bookmarkEnd w:id="68"/>
      <w:bookmarkEnd w:id="69"/>
      <w:bookmarkEnd w:id="70"/>
    </w:p>
    <w:p w:rsidR="00C93E22" w:rsidRDefault="00C93E22">
      <w:pPr>
        <w:spacing w:line="360" w:lineRule="auto"/>
        <w:jc w:val="both"/>
      </w:pPr>
      <w:r>
        <w:rPr>
          <w:lang w:eastAsia="ar-SA"/>
        </w:rPr>
        <w:t>A efectos de cumplir con lo establecido por el Artículo 86 de la Constitución de la República y con la estructura orgánica aprobada por la Junta Departamental en el Presupuesto Quinquenal 2011 – 2015, la Intendencia deberá ajustar el número de funcionarios por Programa, respetando los escalafones y cargos aprobados. Asimismo, todas las partidas de carácter salarial que se abonen a los funcionarios deben ser previstas en una instancia presupuestal.</w:t>
      </w:r>
    </w:p>
    <w:p w:rsidR="00C93E22" w:rsidRDefault="00C93E22"/>
    <w:p w:rsidR="00C93E22" w:rsidRDefault="00C93E22">
      <w:pPr>
        <w:pStyle w:val="Ttulo3"/>
      </w:pPr>
      <w:bookmarkStart w:id="71" w:name="_Toc309912402"/>
      <w:bookmarkStart w:id="72" w:name="_Toc366165622"/>
      <w:r>
        <w:t xml:space="preserve">3.4.2.2 </w:t>
      </w:r>
      <w:bookmarkStart w:id="73" w:name="_Toc237403101"/>
      <w:bookmarkStart w:id="74" w:name="_Toc238632409"/>
      <w:bookmarkStart w:id="75" w:name="_Toc239656385"/>
      <w:bookmarkStart w:id="76" w:name="_Toc309912403"/>
      <w:bookmarkEnd w:id="71"/>
      <w:r>
        <w:t>Bonificaciones y descuentos en Contribución Inmobiliaria Rural</w:t>
      </w:r>
      <w:bookmarkEnd w:id="72"/>
      <w:bookmarkEnd w:id="73"/>
      <w:bookmarkEnd w:id="74"/>
      <w:bookmarkEnd w:id="75"/>
      <w:bookmarkEnd w:id="76"/>
    </w:p>
    <w:p w:rsidR="00C93E22" w:rsidRDefault="00C93E22">
      <w:pPr>
        <w:spacing w:line="360" w:lineRule="auto"/>
        <w:jc w:val="both"/>
        <w:rPr>
          <w:color w:val="000000"/>
          <w:lang w:eastAsia="ar-SA"/>
        </w:rPr>
      </w:pPr>
      <w:r>
        <w:rPr>
          <w:color w:val="000000"/>
          <w:lang w:eastAsia="ar-SA"/>
        </w:rPr>
        <w:t>La Intendencia deberá abstenerse de aplicar exoneraciones y bonificaciones que no son de competencia de las entidades territoriales, sino que corresponden al titular o al sujeto activo de la potestad tributaria, que en el caso de la Contribución Inmobiliaria Rural es el Gobierno Nacional de acuerdo con lo dispuesto por el Artículo 297 de la Constitución de la República en su Ordinal 1).</w:t>
      </w:r>
    </w:p>
    <w:p w:rsidR="00C93E22" w:rsidRDefault="00C93E22">
      <w:pPr>
        <w:spacing w:line="360" w:lineRule="auto"/>
        <w:jc w:val="both"/>
        <w:rPr>
          <w:color w:val="000000"/>
          <w:lang w:eastAsia="ar-SA"/>
        </w:rPr>
      </w:pPr>
    </w:p>
    <w:p w:rsidR="00C93E22" w:rsidRDefault="00C93E22">
      <w:pPr>
        <w:pStyle w:val="Ttulo3"/>
      </w:pPr>
      <w:bookmarkStart w:id="77" w:name="_Toc309912406"/>
      <w:bookmarkStart w:id="78" w:name="_Toc366165623"/>
      <w:r>
        <w:t>3.4.2.3  Gastos ejecutados por la Intendencia</w:t>
      </w:r>
      <w:bookmarkEnd w:id="77"/>
      <w:bookmarkEnd w:id="78"/>
    </w:p>
    <w:p w:rsidR="00C93E22" w:rsidRDefault="00C93E22">
      <w:pPr>
        <w:pStyle w:val="Textoindependiente"/>
        <w:rPr>
          <w:bCs/>
        </w:rPr>
      </w:pPr>
      <w:r>
        <w:rPr>
          <w:bCs/>
        </w:rPr>
        <w:t>La Intendencia deberá instrumentar los procedimientos correspondientes a efectos de que todos los gastos en los que incurra sean autorizados previamente por autoridad competente. Asimismo, los gastos ejecutados deben ser respaldados cumpliendo con los requisitos establecidos en el Artículo 23 del TOCAF, Decreto N° 388/92 y Resolución N° 688/92 de la Dirección General Impositiva e imputarse al objeto del gasto que corresponda como lo establece el Artículo 16 del TOCAF.</w:t>
      </w:r>
    </w:p>
    <w:p w:rsidR="00C93E22" w:rsidRDefault="00C93E22">
      <w:pPr>
        <w:spacing w:line="360" w:lineRule="auto"/>
        <w:jc w:val="both"/>
        <w:rPr>
          <w:color w:val="000000"/>
          <w:lang w:eastAsia="ar-SA"/>
        </w:rPr>
      </w:pPr>
    </w:p>
    <w:p w:rsidR="00C93E22" w:rsidRDefault="00C93E22">
      <w:pPr>
        <w:pStyle w:val="Ttulo3"/>
      </w:pPr>
      <w:bookmarkStart w:id="79" w:name="_Toc309912404"/>
      <w:bookmarkStart w:id="80" w:name="_Toc366165624"/>
      <w:r>
        <w:t>3.4.2.4 Excesos de gastos</w:t>
      </w:r>
      <w:bookmarkEnd w:id="79"/>
      <w:bookmarkEnd w:id="80"/>
    </w:p>
    <w:p w:rsidR="00C93E22" w:rsidRDefault="00C93E22">
      <w:pPr>
        <w:pStyle w:val="Textoindependiente21"/>
        <w:widowControl w:val="0"/>
      </w:pPr>
      <w:r>
        <w:t>Si bien la Intendencia recurrió al mecanismo de trasposición de objetos, continuaron existiendo excesos en objetos de gastos los que, según consta en la Rendición de Cuentas ascendieron a un importe de $ 150.442.792. Asimismo, en otros objetos se produjeron</w:t>
      </w:r>
      <w:r w:rsidR="002644C6">
        <w:t xml:space="preserve"> economías, por un importe de $</w:t>
      </w:r>
      <w:r>
        <w:t>61.569.776.</w:t>
      </w:r>
    </w:p>
    <w:p w:rsidR="00C93E22" w:rsidRDefault="00C93E22">
      <w:pPr>
        <w:pStyle w:val="Ttulo3"/>
      </w:pPr>
      <w:bookmarkStart w:id="81" w:name="_Toc309912405"/>
      <w:bookmarkStart w:id="82" w:name="_Toc366165625"/>
    </w:p>
    <w:p w:rsidR="002644C6" w:rsidRPr="002644C6" w:rsidRDefault="002644C6" w:rsidP="002644C6">
      <w:pPr>
        <w:rPr>
          <w:lang w:val="es-MX"/>
        </w:rPr>
      </w:pPr>
    </w:p>
    <w:p w:rsidR="00C93E22" w:rsidRDefault="00C93E22">
      <w:pPr>
        <w:pStyle w:val="Ttulo3"/>
      </w:pPr>
      <w:r>
        <w:t>3.4.2.5  Contratación de suministros y servicios</w:t>
      </w:r>
      <w:bookmarkEnd w:id="81"/>
      <w:bookmarkEnd w:id="82"/>
    </w:p>
    <w:p w:rsidR="00C93E22" w:rsidRDefault="00C93E22">
      <w:pPr>
        <w:pStyle w:val="Textoindependiente"/>
        <w:widowControl w:val="0"/>
        <w:rPr>
          <w:bCs/>
        </w:rPr>
      </w:pPr>
      <w:r>
        <w:rPr>
          <w:bCs/>
        </w:rPr>
        <w:t>La Intendencia deberá planificar sus compras y los requerimientos de servicios, en lo posible anualmente, de forma de realizar las contrataciones por grupo de artículos o servicios, teniendo en cuenta el procedimiento de contratación que correspondiere, de acuerdo a lo establecido en el Artículo 33 del TOCAF. Sin perjuicio de lo dispuesto precedentemente, los ordenadores bajo su responsabilidad, podrán fraccionar las compras dejando expresa constancia de su fundamento y de su conveniencia para el servicio, tal como lo dispone el mencionado Artículo 43.</w:t>
      </w:r>
    </w:p>
    <w:p w:rsidR="00C93E22" w:rsidRDefault="00C93E22">
      <w:pPr>
        <w:pStyle w:val="Textoindependiente"/>
        <w:widowControl w:val="0"/>
        <w:rPr>
          <w:bCs/>
        </w:rPr>
      </w:pPr>
    </w:p>
    <w:p w:rsidR="00C93E22" w:rsidRDefault="00C93E22">
      <w:pPr>
        <w:pStyle w:val="Ttulo3"/>
      </w:pPr>
      <w:bookmarkStart w:id="83" w:name="_Toc309912419"/>
      <w:bookmarkStart w:id="84" w:name="_Toc366165626"/>
      <w:r>
        <w:rPr>
          <w:lang w:eastAsia="ar-SA"/>
        </w:rPr>
        <w:t xml:space="preserve">3.4.2.6 </w:t>
      </w:r>
      <w:r>
        <w:t xml:space="preserve"> Arrendamientos de inmuebles</w:t>
      </w:r>
      <w:bookmarkEnd w:id="83"/>
      <w:bookmarkEnd w:id="84"/>
      <w:r>
        <w:t> </w:t>
      </w:r>
    </w:p>
    <w:p w:rsidR="00C93E22" w:rsidRDefault="00C93E22">
      <w:pPr>
        <w:pStyle w:val="Textoindependiente2"/>
        <w:spacing w:line="360" w:lineRule="auto"/>
        <w:rPr>
          <w:lang w:val="es-ES" w:eastAsia="ar-SA"/>
        </w:rPr>
      </w:pPr>
      <w:r>
        <w:rPr>
          <w:lang w:val="es-ES" w:eastAsia="ar-SA"/>
        </w:rPr>
        <w:t>En los contratos de arrendamiento de inmuebles se debe solicitar informe previo de una oficina técnica competente con respecto al valor del arrendamiento a pagar o cobrar por el Estado para la totalidad de los arrendamientos vigentes (</w:t>
      </w:r>
      <w:r>
        <w:rPr>
          <w:bCs/>
        </w:rPr>
        <w:t>Artículo 40 del TOCAF).</w:t>
      </w:r>
    </w:p>
    <w:p w:rsidR="00C93E22" w:rsidRDefault="00C93E22">
      <w:pPr>
        <w:pStyle w:val="Textoindependiente"/>
        <w:widowControl w:val="0"/>
        <w:rPr>
          <w:bCs/>
        </w:rPr>
      </w:pPr>
    </w:p>
    <w:p w:rsidR="00C93E22" w:rsidRDefault="00C93E22">
      <w:pPr>
        <w:pStyle w:val="Ttulo3"/>
      </w:pPr>
      <w:bookmarkStart w:id="85" w:name="_Toc309912407"/>
      <w:bookmarkStart w:id="86" w:name="_Toc366165627"/>
      <w:r>
        <w:t>3.4.2.7  Seguro de caución de fidelidad</w:t>
      </w:r>
      <w:bookmarkEnd w:id="85"/>
      <w:bookmarkEnd w:id="86"/>
    </w:p>
    <w:p w:rsidR="00C93E22" w:rsidRDefault="00C93E22">
      <w:pPr>
        <w:pStyle w:val="Textoindependiente"/>
        <w:rPr>
          <w:bCs/>
        </w:rPr>
      </w:pPr>
      <w:r>
        <w:rPr>
          <w:bCs/>
        </w:rPr>
        <w:t>A efectos de cumplir con lo establecido en los Artículos 90 y 154 del TOCAF, la Intendencia deberá contratar un seguro de caución de fidelidad respecto a todos los funcionarios que manejen o custodien fondos o valores.</w:t>
      </w:r>
    </w:p>
    <w:p w:rsidR="00C93E22" w:rsidRDefault="00C93E22">
      <w:pPr>
        <w:pStyle w:val="Textoindependiente"/>
        <w:rPr>
          <w:bCs/>
        </w:rPr>
      </w:pPr>
    </w:p>
    <w:p w:rsidR="00C93E22" w:rsidRDefault="00C93E22">
      <w:pPr>
        <w:pStyle w:val="Ttulo3"/>
        <w:rPr>
          <w:lang w:eastAsia="ar-SA"/>
        </w:rPr>
      </w:pPr>
      <w:bookmarkStart w:id="87" w:name="_Toc309912421"/>
      <w:bookmarkStart w:id="88" w:name="_Toc366165628"/>
      <w:r>
        <w:rPr>
          <w:lang w:eastAsia="ar-SA"/>
        </w:rPr>
        <w:t>3.4.2.8 Valuación del inventario de bienes de uso</w:t>
      </w:r>
      <w:bookmarkEnd w:id="87"/>
      <w:bookmarkEnd w:id="88"/>
    </w:p>
    <w:p w:rsidR="00C93E22" w:rsidRDefault="00C93E22">
      <w:pPr>
        <w:pStyle w:val="Textoindependiente2"/>
        <w:spacing w:line="360" w:lineRule="auto"/>
        <w:rPr>
          <w:bCs/>
        </w:rPr>
      </w:pPr>
      <w:r>
        <w:t>Si bien la Comuna posee inventario de bienes de uso, el mismo deberá ser valuado</w:t>
      </w:r>
      <w:r>
        <w:rPr>
          <w:bCs/>
        </w:rPr>
        <w:t xml:space="preserve"> (Artículo 84 del TOCAF).</w:t>
      </w:r>
    </w:p>
    <w:p w:rsidR="00C93E22" w:rsidRDefault="00C93E22">
      <w:pPr>
        <w:pStyle w:val="Textoindependiente2"/>
        <w:spacing w:line="360" w:lineRule="auto"/>
      </w:pPr>
    </w:p>
    <w:p w:rsidR="00C93E22" w:rsidRDefault="00C93E22">
      <w:pPr>
        <w:pStyle w:val="Ttulo3"/>
      </w:pPr>
      <w:bookmarkStart w:id="89" w:name="_Toc309912409"/>
      <w:bookmarkStart w:id="90" w:name="_Toc366165629"/>
      <w:r>
        <w:t>3.4.2.9  Imputación previa</w:t>
      </w:r>
      <w:bookmarkEnd w:id="89"/>
      <w:bookmarkEnd w:id="90"/>
    </w:p>
    <w:p w:rsidR="00C93E22" w:rsidRDefault="00C93E22">
      <w:pPr>
        <w:pStyle w:val="Textoindependiente"/>
        <w:rPr>
          <w:bCs/>
        </w:rPr>
      </w:pPr>
      <w:r>
        <w:rPr>
          <w:bCs/>
        </w:rPr>
        <w:t>A efectos de evitar los excesos de gastos señalados y cumplir con las correspondientes disposiciones legales, se deberá determinar fehacientemente la disponibilidad existente. La imputación debe realizarse en forma previa, es decir al momento de comprometerse el gasto.</w:t>
      </w:r>
    </w:p>
    <w:p w:rsidR="00C93E22" w:rsidRDefault="00C93E22">
      <w:pPr>
        <w:pStyle w:val="Ttulo3"/>
      </w:pPr>
      <w:bookmarkStart w:id="91" w:name="_Toc309912410"/>
      <w:bookmarkStart w:id="92" w:name="_Toc366165630"/>
      <w:r>
        <w:t>3.4.2.10  Auditoría Interna</w:t>
      </w:r>
      <w:bookmarkEnd w:id="91"/>
      <w:bookmarkEnd w:id="92"/>
    </w:p>
    <w:p w:rsidR="00C93E22" w:rsidRDefault="00C93E22">
      <w:pPr>
        <w:pStyle w:val="Textoindependiente"/>
        <w:widowControl w:val="0"/>
        <w:rPr>
          <w:bCs/>
        </w:rPr>
      </w:pPr>
      <w:r>
        <w:rPr>
          <w:bCs/>
        </w:rPr>
        <w:t>A efectos de permitir el cumplimiento de lo establecido por el Artículo 111 numeral 6) del TOCAF, se deberá poner en funcionamiento la Unidad de Auditoría Interna, la que deberá estar a cargo de un Contador Público con formación y experiencia en la materia. La referida Unidad debe depender del Señor Intendente y realizar las tareas propias de su especialidad.</w:t>
      </w:r>
    </w:p>
    <w:p w:rsidR="00C93E22" w:rsidRDefault="00C93E22">
      <w:pPr>
        <w:pStyle w:val="Textoindependiente"/>
        <w:widowControl w:val="0"/>
        <w:rPr>
          <w:bCs/>
        </w:rPr>
      </w:pPr>
    </w:p>
    <w:p w:rsidR="00C93E22" w:rsidRDefault="00C93E22">
      <w:pPr>
        <w:pStyle w:val="Ttulo3"/>
      </w:pPr>
      <w:bookmarkStart w:id="93" w:name="_Toc309912418"/>
      <w:bookmarkStart w:id="94" w:name="_Toc366165631"/>
      <w:r>
        <w:rPr>
          <w:lang w:eastAsia="ar-SA"/>
        </w:rPr>
        <w:t xml:space="preserve">3.4.2.11 </w:t>
      </w:r>
      <w:r>
        <w:t>Artículo 32 de la Ley N° 11.923</w:t>
      </w:r>
      <w:bookmarkEnd w:id="93"/>
      <w:bookmarkEnd w:id="94"/>
    </w:p>
    <w:p w:rsidR="00C93E22" w:rsidRDefault="00C93E22">
      <w:pPr>
        <w:pStyle w:val="NormalWeb"/>
        <w:shd w:val="clear" w:color="auto" w:fill="FFFFFF"/>
        <w:tabs>
          <w:tab w:val="num" w:pos="2150"/>
        </w:tabs>
        <w:spacing w:before="0" w:beforeAutospacing="0" w:after="0" w:afterAutospacing="0" w:line="360" w:lineRule="auto"/>
        <w:jc w:val="both"/>
        <w:rPr>
          <w:rFonts w:ascii="Arial" w:eastAsia="Times New Roman" w:hAnsi="Arial" w:cs="Arial"/>
          <w:lang w:eastAsia="ar-SA"/>
        </w:rPr>
      </w:pPr>
      <w:r>
        <w:rPr>
          <w:rFonts w:ascii="Arial" w:hAnsi="Arial" w:cs="Arial"/>
          <w:lang w:eastAsia="ar-SA"/>
        </w:rPr>
        <w:t>Debe controlarse el cumplimiento de lo establecido en el Artículo 32 de la Ley Nº 11.923, por el cual n</w:t>
      </w:r>
      <w:r>
        <w:rPr>
          <w:rFonts w:ascii="Arial" w:eastAsia="Times New Roman" w:hAnsi="Arial" w:cs="Arial"/>
          <w:lang w:eastAsia="ar-SA"/>
        </w:rPr>
        <w:t>inguna persona podrá ocupar, a la vez, dos empleos públicos rentados ni percibir más de una remuneración con cargo a fondos públicos, quedando en consecuencia prohibida la acumulación de sueldos en una misma persona.</w:t>
      </w:r>
    </w:p>
    <w:p w:rsidR="00C93E22" w:rsidRDefault="00C93E22">
      <w:pPr>
        <w:pStyle w:val="NormalWeb"/>
        <w:shd w:val="clear" w:color="auto" w:fill="FFFFFF"/>
        <w:tabs>
          <w:tab w:val="num" w:pos="2150"/>
        </w:tabs>
        <w:spacing w:before="0" w:beforeAutospacing="0" w:after="0" w:afterAutospacing="0" w:line="360" w:lineRule="auto"/>
        <w:jc w:val="both"/>
        <w:rPr>
          <w:rFonts w:ascii="Arial" w:hAnsi="Arial" w:cs="Arial"/>
        </w:rPr>
      </w:pPr>
    </w:p>
    <w:p w:rsidR="00C93E22" w:rsidRDefault="00C93E22">
      <w:pPr>
        <w:pStyle w:val="Ttulo3"/>
        <w:rPr>
          <w:lang w:eastAsia="ar-SA"/>
        </w:rPr>
      </w:pPr>
      <w:bookmarkStart w:id="95" w:name="_Toc309912429"/>
      <w:bookmarkStart w:id="96" w:name="_Toc366165632"/>
      <w:r>
        <w:rPr>
          <w:lang w:eastAsia="ar-SA"/>
        </w:rPr>
        <w:t>3.4.2.12  Retenciones sobre sueldos</w:t>
      </w:r>
      <w:bookmarkEnd w:id="95"/>
      <w:bookmarkEnd w:id="96"/>
    </w:p>
    <w:p w:rsidR="00C93E22" w:rsidRDefault="00C93E22">
      <w:pPr>
        <w:spacing w:line="360" w:lineRule="auto"/>
        <w:jc w:val="both"/>
        <w:rPr>
          <w:lang w:val="es-ES_tradnl"/>
        </w:rPr>
      </w:pPr>
      <w:r>
        <w:rPr>
          <w:lang w:val="es-ES_tradnl"/>
        </w:rPr>
        <w:t>Ningún funcionario podrá percibir por concepto de retribución o pasividad, una cantidad</w:t>
      </w:r>
      <w:r>
        <w:rPr>
          <w:color w:val="FF0000"/>
          <w:lang w:val="es-ES_tradnl"/>
        </w:rPr>
        <w:t xml:space="preserve"> </w:t>
      </w:r>
      <w:r>
        <w:rPr>
          <w:lang w:val="es-ES_tradnl"/>
        </w:rPr>
        <w:t>en efectivo inferior al 30% de su sueldo nominal menos los impuestos y contr</w:t>
      </w:r>
      <w:r w:rsidR="002644C6">
        <w:rPr>
          <w:lang w:val="es-ES_tradnl"/>
        </w:rPr>
        <w:t>ibuciones de seguridad social.</w:t>
      </w:r>
    </w:p>
    <w:p w:rsidR="00C93E22" w:rsidRDefault="00C93E22">
      <w:pPr>
        <w:spacing w:line="360" w:lineRule="auto"/>
        <w:jc w:val="both"/>
        <w:rPr>
          <w:lang w:val="es-ES_tradnl"/>
        </w:rPr>
      </w:pPr>
    </w:p>
    <w:p w:rsidR="00C93E22" w:rsidRDefault="00C93E22">
      <w:pPr>
        <w:pStyle w:val="Ttulo3"/>
      </w:pPr>
      <w:bookmarkStart w:id="97" w:name="_Toc309912412"/>
      <w:bookmarkStart w:id="98" w:name="_Toc366165633"/>
      <w:r>
        <w:t>3.4.2.13 Horas extras</w:t>
      </w:r>
      <w:bookmarkEnd w:id="97"/>
      <w:bookmarkEnd w:id="98"/>
    </w:p>
    <w:p w:rsidR="00C93E22" w:rsidRDefault="00C93E22">
      <w:pPr>
        <w:pStyle w:val="Textoindependiente"/>
        <w:rPr>
          <w:bCs/>
        </w:rPr>
      </w:pPr>
      <w:r>
        <w:rPr>
          <w:bCs/>
        </w:rPr>
        <w:t>Para su liquidación debe aplicarse lo establecido por el Artículo 43 del Decreto Nº 272/95 (Presupuesto Quinquenal 1995-1999) y la Resolución Nº 248/2009 de la Intendencia.</w:t>
      </w:r>
    </w:p>
    <w:p w:rsidR="00C93E22" w:rsidRDefault="00C93E22">
      <w:pPr>
        <w:pStyle w:val="Textoindependiente"/>
        <w:rPr>
          <w:bCs/>
        </w:rPr>
      </w:pPr>
    </w:p>
    <w:p w:rsidR="00C93E22" w:rsidRDefault="00C93E22">
      <w:pPr>
        <w:pStyle w:val="Ttulo3"/>
      </w:pPr>
      <w:bookmarkStart w:id="99" w:name="_Toc309912413"/>
      <w:bookmarkStart w:id="100" w:name="_Toc366165634"/>
      <w:r>
        <w:t>3.4.2.14  Modificaciones de recursos</w:t>
      </w:r>
      <w:bookmarkEnd w:id="99"/>
      <w:bookmarkEnd w:id="100"/>
    </w:p>
    <w:p w:rsidR="00C93E22" w:rsidRDefault="00C93E22">
      <w:pPr>
        <w:pStyle w:val="Textoindependiente"/>
        <w:rPr>
          <w:bCs/>
        </w:rPr>
      </w:pPr>
      <w:bookmarkStart w:id="101" w:name="_Toc237403116"/>
      <w:bookmarkStart w:id="102" w:name="_Toc238632423"/>
      <w:bookmarkStart w:id="103" w:name="_Toc239656399"/>
      <w:r>
        <w:rPr>
          <w:bCs/>
        </w:rPr>
        <w:t>De acuerdo a lo establecido por la Ordenanza N° 62, toda creación o modificación de recursos debe ser sometida a dictamen de este Tribunal, por la respectiva Junta Departamental, previamente a su aprobación.</w:t>
      </w:r>
      <w:bookmarkEnd w:id="101"/>
      <w:bookmarkEnd w:id="102"/>
      <w:bookmarkEnd w:id="103"/>
    </w:p>
    <w:p w:rsidR="00C93E22" w:rsidRDefault="00C93E22">
      <w:pPr>
        <w:pStyle w:val="Textoindependiente"/>
        <w:rPr>
          <w:bCs/>
        </w:rPr>
      </w:pPr>
    </w:p>
    <w:p w:rsidR="00C93E22" w:rsidRDefault="00C93E22">
      <w:pPr>
        <w:pStyle w:val="Ttulo3"/>
      </w:pPr>
      <w:bookmarkStart w:id="104" w:name="_Toc309912408"/>
      <w:bookmarkStart w:id="105" w:name="_Toc366165635"/>
      <w:r>
        <w:t>3.4.2.15  Gestión patrimonial</w:t>
      </w:r>
      <w:bookmarkEnd w:id="104"/>
      <w:bookmarkEnd w:id="105"/>
    </w:p>
    <w:p w:rsidR="00C93E22" w:rsidRDefault="00C93E22">
      <w:pPr>
        <w:pStyle w:val="Textoindependiente"/>
        <w:rPr>
          <w:bCs/>
        </w:rPr>
      </w:pPr>
      <w:r>
        <w:rPr>
          <w:bCs/>
        </w:rPr>
        <w:t>La Intendencia cuenta con un sistema de información que le permite conocer la gestión presupuestaria, financiera y económica de la misma, conforme a lo establecido en el Artículo 94 del TOCAF. No obstante, se deberán remitir los estados establecidos por el Artículo 13 de la Ordenanza N° 81.</w:t>
      </w:r>
    </w:p>
    <w:p w:rsidR="00C93E22" w:rsidRDefault="00C93E22">
      <w:pPr>
        <w:pStyle w:val="Textoindependiente"/>
        <w:rPr>
          <w:bCs/>
        </w:rPr>
      </w:pPr>
    </w:p>
    <w:p w:rsidR="00C93E22" w:rsidRDefault="00C93E22">
      <w:pPr>
        <w:pStyle w:val="Ttulo3"/>
      </w:pPr>
      <w:bookmarkStart w:id="106" w:name="_Toc309912430"/>
      <w:bookmarkStart w:id="107" w:name="_Toc366165636"/>
      <w:r>
        <w:t>3.4.2.16 Ayudas sociales</w:t>
      </w:r>
      <w:bookmarkEnd w:id="106"/>
      <w:bookmarkEnd w:id="107"/>
    </w:p>
    <w:p w:rsidR="00C93E22" w:rsidRDefault="00C93E22">
      <w:pPr>
        <w:spacing w:line="360" w:lineRule="auto"/>
        <w:jc w:val="both"/>
        <w:rPr>
          <w:lang w:val="es-MX"/>
        </w:rPr>
      </w:pPr>
      <w:r>
        <w:rPr>
          <w:lang w:val="es-MX"/>
        </w:rPr>
        <w:t>La totalidad de los requisitos exigidos para las colaboraciones por ayudas sociales establecidos en la Resolución N° 11.688/97, deben se</w:t>
      </w:r>
      <w:r w:rsidR="002644C6">
        <w:rPr>
          <w:lang w:val="es-MX"/>
        </w:rPr>
        <w:t>r probados en forma fehaciente.</w:t>
      </w:r>
    </w:p>
    <w:p w:rsidR="00C93E22" w:rsidRDefault="00C93E22">
      <w:pPr>
        <w:spacing w:line="360" w:lineRule="auto"/>
        <w:jc w:val="both"/>
        <w:rPr>
          <w:lang w:val="es-MX"/>
        </w:rPr>
      </w:pPr>
    </w:p>
    <w:p w:rsidR="00C93E22" w:rsidRDefault="00C93E22">
      <w:pPr>
        <w:pStyle w:val="Ttulo3"/>
      </w:pPr>
      <w:bookmarkStart w:id="108" w:name="_Toc309912428"/>
      <w:bookmarkStart w:id="109" w:name="_Toc366165637"/>
      <w:r>
        <w:t>3.4.2.17 Caducidad de convenios</w:t>
      </w:r>
      <w:bookmarkEnd w:id="108"/>
      <w:bookmarkEnd w:id="109"/>
    </w:p>
    <w:p w:rsidR="00C93E22" w:rsidRDefault="00C93E22">
      <w:pPr>
        <w:spacing w:line="360" w:lineRule="auto"/>
        <w:jc w:val="both"/>
        <w:rPr>
          <w:lang w:val="es-MX"/>
        </w:rPr>
      </w:pPr>
      <w:r>
        <w:rPr>
          <w:lang w:val="es-MX"/>
        </w:rPr>
        <w:t>Debe realizarse un seguimiento de los convenios con contribuyentes a efectos de evitar que se mantengan vigentes aquellos que deberían caducar, y exigirse el pago de la totalidad de la deuda.</w:t>
      </w:r>
    </w:p>
    <w:p w:rsidR="00C93E22" w:rsidRDefault="00C93E22">
      <w:pPr>
        <w:spacing w:line="360" w:lineRule="auto"/>
        <w:jc w:val="both"/>
        <w:rPr>
          <w:lang w:val="es-MX"/>
        </w:rPr>
      </w:pPr>
    </w:p>
    <w:p w:rsidR="00C93E22" w:rsidRDefault="00C93E22">
      <w:pPr>
        <w:pStyle w:val="Ttulo3"/>
      </w:pPr>
      <w:bookmarkStart w:id="110" w:name="_Toc309912415"/>
      <w:bookmarkStart w:id="111" w:name="_Toc366165638"/>
      <w:r>
        <w:t>3.4.2.18 Fondos Indisponibles</w:t>
      </w:r>
      <w:bookmarkEnd w:id="110"/>
      <w:bookmarkEnd w:id="111"/>
    </w:p>
    <w:p w:rsidR="00C93E22" w:rsidRDefault="00C93E22">
      <w:pPr>
        <w:pStyle w:val="Textoindependiente"/>
        <w:rPr>
          <w:bCs/>
          <w:lang w:eastAsia="ar-SA"/>
        </w:rPr>
      </w:pPr>
      <w:r>
        <w:rPr>
          <w:bCs/>
          <w:lang w:eastAsia="ar-SA"/>
        </w:rPr>
        <w:t xml:space="preserve">A efectos de dar cumplimiento a lo establecido en el Instructivo de Rendiciones de Cuentas de Gobiernos Departamentales (Resolución del Tribunal de Cuentas de 28/01/04), deberán incluirse en este estado únicamente los fondos correspondientes a retenciones efectuadas por la Intendencia por cuenta y orden de terceros, debiéndose detallar la antigüedad de los saldos no vertidos a los organismos destinatarios al cierre del Ejercicio. Asimismo, los fondos que carecen de contrapartida de ingresos prevista en el presupuesto, deben computarse como fondos </w:t>
      </w:r>
      <w:proofErr w:type="spellStart"/>
      <w:r>
        <w:rPr>
          <w:bCs/>
          <w:lang w:eastAsia="ar-SA"/>
        </w:rPr>
        <w:t>extrapresupue</w:t>
      </w:r>
      <w:r w:rsidR="002644C6">
        <w:rPr>
          <w:bCs/>
          <w:lang w:eastAsia="ar-SA"/>
        </w:rPr>
        <w:t>stales</w:t>
      </w:r>
      <w:proofErr w:type="spellEnd"/>
      <w:r w:rsidR="002644C6">
        <w:rPr>
          <w:bCs/>
          <w:lang w:eastAsia="ar-SA"/>
        </w:rPr>
        <w:t xml:space="preserve"> y no como indisponibles.</w:t>
      </w:r>
    </w:p>
    <w:p w:rsidR="00C93E22" w:rsidRDefault="00C93E22">
      <w:pPr>
        <w:pStyle w:val="Textoindependiente"/>
        <w:rPr>
          <w:bCs/>
          <w:lang w:eastAsia="ar-SA"/>
        </w:rPr>
      </w:pPr>
    </w:p>
    <w:p w:rsidR="00C93E22" w:rsidRDefault="00C93E22">
      <w:pPr>
        <w:pStyle w:val="Ttulo3"/>
      </w:pPr>
      <w:bookmarkStart w:id="112" w:name="_Toc366165639"/>
      <w:r>
        <w:t>3.4.2.19  Conciliación con Organismos Públicos</w:t>
      </w:r>
      <w:bookmarkEnd w:id="112"/>
    </w:p>
    <w:p w:rsidR="00C93E22" w:rsidRDefault="00C93E22">
      <w:pPr>
        <w:spacing w:line="360" w:lineRule="auto"/>
        <w:rPr>
          <w:lang w:val="es-MX"/>
        </w:rPr>
      </w:pPr>
      <w:r>
        <w:rPr>
          <w:lang w:val="es-MX"/>
        </w:rPr>
        <w:t>Deberán conciliarse las diferencias en los saldos con los organismos públicos y efectuar los ajustes que correspondan.</w:t>
      </w:r>
    </w:p>
    <w:p w:rsidR="00C93E22" w:rsidRDefault="00C93E22">
      <w:pPr>
        <w:spacing w:line="360" w:lineRule="auto"/>
        <w:rPr>
          <w:lang w:val="es-MX"/>
        </w:rPr>
      </w:pPr>
    </w:p>
    <w:p w:rsidR="00C93E22" w:rsidRDefault="00C93E22">
      <w:pPr>
        <w:pStyle w:val="Ttulo3"/>
        <w:rPr>
          <w:lang w:eastAsia="ar-SA"/>
        </w:rPr>
      </w:pPr>
      <w:bookmarkStart w:id="113" w:name="_Toc309912431"/>
      <w:bookmarkStart w:id="114" w:name="_Toc366165640"/>
      <w:bookmarkStart w:id="115" w:name="_Toc238632433"/>
      <w:bookmarkStart w:id="116" w:name="_Toc239656409"/>
      <w:r>
        <w:rPr>
          <w:lang w:eastAsia="ar-SA"/>
        </w:rPr>
        <w:t>3.4.2.20 Control Interno</w:t>
      </w:r>
      <w:bookmarkEnd w:id="113"/>
      <w:bookmarkEnd w:id="114"/>
    </w:p>
    <w:p w:rsidR="00C93E22" w:rsidRDefault="00C93E22">
      <w:pPr>
        <w:spacing w:line="360" w:lineRule="auto"/>
        <w:jc w:val="both"/>
        <w:rPr>
          <w:lang w:val="es-MX"/>
        </w:rPr>
      </w:pPr>
      <w:r>
        <w:rPr>
          <w:lang w:val="es-MX"/>
        </w:rPr>
        <w:t>La Intendencia debería adoptar las medidas necesarias para subsanar las debilidades de control interno expuestas en el Capítulo 3.3.</w:t>
      </w:r>
    </w:p>
    <w:p w:rsidR="00C93E22" w:rsidRDefault="00C93E22">
      <w:pPr>
        <w:spacing w:line="360" w:lineRule="auto"/>
        <w:jc w:val="both"/>
        <w:rPr>
          <w:lang w:val="es-MX"/>
        </w:rPr>
      </w:pPr>
    </w:p>
    <w:p w:rsidR="00C93E22" w:rsidRDefault="00C93E22">
      <w:pPr>
        <w:pStyle w:val="Ttulo3"/>
      </w:pPr>
      <w:bookmarkStart w:id="117" w:name="_Toc208913274"/>
      <w:bookmarkStart w:id="118" w:name="_Toc365564901"/>
      <w:bookmarkStart w:id="119" w:name="_Toc366165644"/>
      <w:r>
        <w:t>3.4.2.21 Ajustes al resultado acumulado</w:t>
      </w:r>
      <w:bookmarkEnd w:id="117"/>
      <w:bookmarkEnd w:id="118"/>
      <w:bookmarkEnd w:id="119"/>
    </w:p>
    <w:p w:rsidR="00C93E22" w:rsidRDefault="00C93E22">
      <w:pPr>
        <w:pStyle w:val="Textoindependiente"/>
      </w:pPr>
      <w:r>
        <w:t>Se deberán efectuar los ajustes detallados en el párra</w:t>
      </w:r>
      <w:r>
        <w:softHyphen/>
        <w:t>fo 3.1.2) para fijar el resultado acumulado al 31 de diciembre de 2013 en la cifra establecida por este Tribunal.</w:t>
      </w:r>
    </w:p>
    <w:p w:rsidR="00C93E22" w:rsidRDefault="00C93E22">
      <w:pPr>
        <w:pStyle w:val="Textoindependiente"/>
      </w:pPr>
    </w:p>
    <w:p w:rsidR="00C93E22" w:rsidRDefault="00C93E22">
      <w:pPr>
        <w:pStyle w:val="Textoindependiente"/>
        <w:rPr>
          <w:b/>
          <w:bCs/>
        </w:rPr>
      </w:pPr>
      <w:r>
        <w:rPr>
          <w:b/>
          <w:bCs/>
        </w:rPr>
        <w:t>3.4.2.22 Ajustes al Resultado del Ejercicio</w:t>
      </w:r>
    </w:p>
    <w:p w:rsidR="00C93E22" w:rsidRDefault="00C93E22">
      <w:pPr>
        <w:pStyle w:val="Textoindependiente"/>
        <w:rPr>
          <w:bCs/>
        </w:rPr>
      </w:pPr>
      <w:r>
        <w:rPr>
          <w:bCs/>
        </w:rPr>
        <w:t>Los importes que resulten de ajustes por concepto de diferencia de cambio, pérdida y/o actualizaciones de deudas convenidas deben afectar los respectivos Objetos del gasto.</w:t>
      </w:r>
    </w:p>
    <w:p w:rsidR="00C93E22" w:rsidRDefault="00C93E22">
      <w:pPr>
        <w:pStyle w:val="Ttulo2"/>
        <w:spacing w:line="360" w:lineRule="auto"/>
        <w:rPr>
          <w:rFonts w:ascii="Arial" w:hAnsi="Arial"/>
          <w:i w:val="0"/>
          <w:iCs w:val="0"/>
          <w:kern w:val="18"/>
          <w:sz w:val="24"/>
        </w:rPr>
      </w:pPr>
      <w:bookmarkStart w:id="120" w:name="_Toc309912425"/>
      <w:bookmarkStart w:id="121" w:name="_Toc366165641"/>
      <w:bookmarkEnd w:id="115"/>
      <w:bookmarkEnd w:id="116"/>
      <w:r>
        <w:rPr>
          <w:rFonts w:ascii="Arial" w:hAnsi="Arial"/>
          <w:i w:val="0"/>
          <w:iCs w:val="0"/>
          <w:kern w:val="18"/>
          <w:sz w:val="24"/>
        </w:rPr>
        <w:t>3.4.3 Recomendaciones del Ejercicio</w:t>
      </w:r>
      <w:bookmarkEnd w:id="120"/>
      <w:bookmarkEnd w:id="121"/>
    </w:p>
    <w:p w:rsidR="00C93E22" w:rsidRDefault="00C93E22">
      <w:pPr>
        <w:pStyle w:val="Textoindependiente2"/>
        <w:widowControl w:val="0"/>
        <w:spacing w:line="360" w:lineRule="auto"/>
        <w:rPr>
          <w:color w:val="000000"/>
          <w:lang w:eastAsia="ar-SA"/>
        </w:rPr>
      </w:pPr>
      <w:r>
        <w:rPr>
          <w:color w:val="000000"/>
          <w:lang w:eastAsia="ar-SA"/>
        </w:rPr>
        <w:t>Se reiteran las recomendaciones señaladas en el numera</w:t>
      </w:r>
      <w:r w:rsidR="002644C6">
        <w:rPr>
          <w:color w:val="000000"/>
          <w:lang w:eastAsia="ar-SA"/>
        </w:rPr>
        <w:t>l anterior.</w:t>
      </w:r>
    </w:p>
    <w:p w:rsidR="00C93E22" w:rsidRDefault="00C93E22">
      <w:pPr>
        <w:pStyle w:val="Textoindependiente"/>
        <w:jc w:val="right"/>
        <w:rPr>
          <w:bCs/>
        </w:rPr>
      </w:pPr>
      <w:r>
        <w:rPr>
          <w:bCs/>
          <w:lang w:val="pt-BR"/>
        </w:rPr>
        <w:t xml:space="preserve">Montevideo, </w:t>
      </w:r>
      <w:r>
        <w:rPr>
          <w:bCs/>
        </w:rPr>
        <w:t xml:space="preserve">11 de noviembre de </w:t>
      </w:r>
      <w:proofErr w:type="gramStart"/>
      <w:r>
        <w:rPr>
          <w:bCs/>
        </w:rPr>
        <w:t>2014</w:t>
      </w:r>
      <w:proofErr w:type="gramEnd"/>
    </w:p>
    <w:p w:rsidR="00C93E22" w:rsidRDefault="00C93E22">
      <w:pPr>
        <w:pStyle w:val="Piedepgina"/>
        <w:tabs>
          <w:tab w:val="clear" w:pos="4252"/>
          <w:tab w:val="clear" w:pos="8504"/>
        </w:tabs>
        <w:spacing w:line="360" w:lineRule="auto"/>
        <w:jc w:val="both"/>
        <w:rPr>
          <w:lang w:val="es-ES_tradnl"/>
        </w:rPr>
      </w:pPr>
      <w:proofErr w:type="spellStart"/>
      <w:proofErr w:type="gramStart"/>
      <w:r>
        <w:rPr>
          <w:lang w:val="es-ES_tradnl"/>
        </w:rPr>
        <w:t>ag</w:t>
      </w:r>
      <w:proofErr w:type="spellEnd"/>
      <w:proofErr w:type="gramEnd"/>
    </w:p>
    <w:sectPr w:rsidR="00C93E22" w:rsidSect="00BB7A81">
      <w:footerReference w:type="default" r:id="rId8"/>
      <w:pgSz w:w="11906" w:h="16838" w:code="9"/>
      <w:pgMar w:top="3289" w:right="1701" w:bottom="1134"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0C" w:rsidRDefault="00D56E0C">
      <w:pPr>
        <w:rPr>
          <w:rFonts w:ascii="Times New Roman" w:hAnsi="Times New Roman" w:cs="Times New Roman"/>
        </w:rPr>
      </w:pPr>
      <w:r>
        <w:rPr>
          <w:rFonts w:ascii="Times New Roman" w:hAnsi="Times New Roman" w:cs="Times New Roman"/>
        </w:rPr>
        <w:separator/>
      </w:r>
    </w:p>
  </w:endnote>
  <w:endnote w:type="continuationSeparator" w:id="0">
    <w:p w:rsidR="00D56E0C" w:rsidRDefault="00D56E0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E0C" w:rsidRDefault="00D56E0C">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7DB1">
      <w:rPr>
        <w:rStyle w:val="Nmerodepgina"/>
        <w:noProof/>
      </w:rPr>
      <w:t>1</w:t>
    </w:r>
    <w:r>
      <w:rPr>
        <w:rStyle w:val="Nmerodepgina"/>
      </w:rPr>
      <w:fldChar w:fldCharType="end"/>
    </w:r>
  </w:p>
  <w:p w:rsidR="00D56E0C" w:rsidRDefault="00D56E0C">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0C" w:rsidRDefault="00D56E0C">
      <w:pPr>
        <w:rPr>
          <w:rFonts w:ascii="Times New Roman" w:hAnsi="Times New Roman" w:cs="Times New Roman"/>
        </w:rPr>
      </w:pPr>
      <w:r>
        <w:rPr>
          <w:rFonts w:ascii="Times New Roman" w:hAnsi="Times New Roman" w:cs="Times New Roman"/>
        </w:rPr>
        <w:separator/>
      </w:r>
    </w:p>
  </w:footnote>
  <w:footnote w:type="continuationSeparator" w:id="0">
    <w:p w:rsidR="00D56E0C" w:rsidRDefault="00D56E0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B02B7"/>
    <w:multiLevelType w:val="hybridMultilevel"/>
    <w:tmpl w:val="ACB2BEA0"/>
    <w:lvl w:ilvl="0" w:tplc="0ED8F092">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8DE4F54"/>
    <w:multiLevelType w:val="multilevel"/>
    <w:tmpl w:val="36C46A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DFC5887"/>
    <w:multiLevelType w:val="hybridMultilevel"/>
    <w:tmpl w:val="C5A853F0"/>
    <w:lvl w:ilvl="0" w:tplc="8C2ACE88">
      <w:start w:val="1"/>
      <w:numFmt w:val="decimal"/>
      <w:lvlText w:val="%1)"/>
      <w:lvlJc w:val="left"/>
      <w:pPr>
        <w:tabs>
          <w:tab w:val="num" w:pos="360"/>
        </w:tabs>
        <w:ind w:left="340" w:hanging="340"/>
      </w:pPr>
      <w:rPr>
        <w:rFonts w:ascii="Arial" w:hAnsi="Arial" w:cs="Arial" w:hint="default"/>
        <w:b/>
        <w:bCs/>
        <w:i w:val="0"/>
        <w:iCs w:val="0"/>
      </w:rPr>
    </w:lvl>
    <w:lvl w:ilvl="1" w:tplc="FFFFFFFF">
      <w:start w:val="1"/>
      <w:numFmt w:val="lowerLetter"/>
      <w:lvlText w:val="%2."/>
      <w:lvlJc w:val="left"/>
      <w:pPr>
        <w:tabs>
          <w:tab w:val="num" w:pos="1440"/>
        </w:tabs>
        <w:ind w:left="1440" w:hanging="360"/>
      </w:pPr>
      <w:rPr>
        <w:rFonts w:ascii="Times New Roman" w:hAnsi="Times New Roman"/>
      </w:rPr>
    </w:lvl>
    <w:lvl w:ilvl="2" w:tplc="FFFFFFFF">
      <w:start w:val="1"/>
      <w:numFmt w:val="lowerRoman"/>
      <w:lvlText w:val="%3."/>
      <w:lvlJc w:val="right"/>
      <w:pPr>
        <w:tabs>
          <w:tab w:val="num" w:pos="2160"/>
        </w:tabs>
        <w:ind w:left="2160" w:hanging="180"/>
      </w:pPr>
      <w:rPr>
        <w:rFonts w:ascii="Times New Roman" w:hAnsi="Times New Roman"/>
      </w:rPr>
    </w:lvl>
    <w:lvl w:ilvl="3" w:tplc="FFFFFFFF">
      <w:start w:val="1"/>
      <w:numFmt w:val="decimal"/>
      <w:lvlText w:val="%4."/>
      <w:lvlJc w:val="left"/>
      <w:pPr>
        <w:tabs>
          <w:tab w:val="num" w:pos="2880"/>
        </w:tabs>
        <w:ind w:left="2880" w:hanging="360"/>
      </w:pPr>
      <w:rPr>
        <w:rFonts w:ascii="Times New Roman" w:hAnsi="Times New Roman"/>
      </w:rPr>
    </w:lvl>
    <w:lvl w:ilvl="4" w:tplc="FFFFFFFF">
      <w:start w:val="1"/>
      <w:numFmt w:val="lowerLetter"/>
      <w:lvlText w:val="%5."/>
      <w:lvlJc w:val="left"/>
      <w:pPr>
        <w:tabs>
          <w:tab w:val="num" w:pos="3600"/>
        </w:tabs>
        <w:ind w:left="3600" w:hanging="360"/>
      </w:pPr>
      <w:rPr>
        <w:rFonts w:ascii="Times New Roman" w:hAnsi="Times New Roman"/>
      </w:rPr>
    </w:lvl>
    <w:lvl w:ilvl="5" w:tplc="FFFFFFFF">
      <w:start w:val="1"/>
      <w:numFmt w:val="lowerRoman"/>
      <w:lvlText w:val="%6."/>
      <w:lvlJc w:val="right"/>
      <w:pPr>
        <w:tabs>
          <w:tab w:val="num" w:pos="4320"/>
        </w:tabs>
        <w:ind w:left="4320" w:hanging="180"/>
      </w:pPr>
      <w:rPr>
        <w:rFonts w:ascii="Times New Roman" w:hAnsi="Times New Roman"/>
      </w:rPr>
    </w:lvl>
    <w:lvl w:ilvl="6" w:tplc="FFFFFFFF">
      <w:start w:val="1"/>
      <w:numFmt w:val="decimal"/>
      <w:lvlText w:val="%7."/>
      <w:lvlJc w:val="left"/>
      <w:pPr>
        <w:tabs>
          <w:tab w:val="num" w:pos="5040"/>
        </w:tabs>
        <w:ind w:left="5040" w:hanging="360"/>
      </w:pPr>
      <w:rPr>
        <w:rFonts w:ascii="Times New Roman" w:hAnsi="Times New Roman"/>
      </w:rPr>
    </w:lvl>
    <w:lvl w:ilvl="7" w:tplc="FFFFFFFF">
      <w:start w:val="1"/>
      <w:numFmt w:val="lowerLetter"/>
      <w:lvlText w:val="%8."/>
      <w:lvlJc w:val="left"/>
      <w:pPr>
        <w:tabs>
          <w:tab w:val="num" w:pos="5760"/>
        </w:tabs>
        <w:ind w:left="5760" w:hanging="360"/>
      </w:pPr>
      <w:rPr>
        <w:rFonts w:ascii="Times New Roman" w:hAnsi="Times New Roman"/>
      </w:rPr>
    </w:lvl>
    <w:lvl w:ilvl="8" w:tplc="FFFFFFFF">
      <w:start w:val="1"/>
      <w:numFmt w:val="lowerRoman"/>
      <w:lvlText w:val="%9."/>
      <w:lvlJc w:val="right"/>
      <w:pPr>
        <w:tabs>
          <w:tab w:val="num" w:pos="6480"/>
        </w:tabs>
        <w:ind w:left="6480" w:hanging="180"/>
      </w:pPr>
      <w:rPr>
        <w:rFonts w:ascii="Times New Roman" w:hAnsi="Times New Roman"/>
      </w:rPr>
    </w:lvl>
  </w:abstractNum>
  <w:abstractNum w:abstractNumId="3">
    <w:nsid w:val="623D1501"/>
    <w:multiLevelType w:val="multilevel"/>
    <w:tmpl w:val="73F01A98"/>
    <w:lvl w:ilvl="0">
      <w:start w:val="1"/>
      <w:numFmt w:val="decimal"/>
      <w:lvlText w:val="%1)"/>
      <w:lvlJc w:val="left"/>
      <w:pPr>
        <w:tabs>
          <w:tab w:val="num" w:pos="644"/>
        </w:tabs>
        <w:ind w:left="644" w:hanging="360"/>
      </w:pPr>
      <w:rPr>
        <w:rFonts w:ascii="Arial" w:hAnsi="Arial" w:hint="default"/>
        <w:b/>
        <w:i w:val="0"/>
      </w:rPr>
    </w:lvl>
    <w:lvl w:ilvl="1">
      <w:start w:val="3"/>
      <w:numFmt w:val="decimal"/>
      <w:isLgl/>
      <w:lvlText w:val="%1.%2"/>
      <w:lvlJc w:val="left"/>
      <w:pPr>
        <w:ind w:left="929" w:hanging="64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nsid w:val="763053A3"/>
    <w:multiLevelType w:val="hybridMultilevel"/>
    <w:tmpl w:val="DB700DCC"/>
    <w:lvl w:ilvl="0" w:tplc="364084B0">
      <w:start w:val="1"/>
      <w:numFmt w:val="decimal"/>
      <w:lvlText w:val="%1)"/>
      <w:lvlJc w:val="left"/>
      <w:pPr>
        <w:tabs>
          <w:tab w:val="num" w:pos="644"/>
        </w:tabs>
        <w:ind w:left="644" w:hanging="360"/>
      </w:pPr>
      <w:rPr>
        <w:rFonts w:ascii="Arial" w:hAnsi="Arial" w:hint="default"/>
        <w:b/>
        <w:i w:val="0"/>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B"/>
    <w:rsid w:val="00042FF2"/>
    <w:rsid w:val="00241F03"/>
    <w:rsid w:val="002644C6"/>
    <w:rsid w:val="004D7DB1"/>
    <w:rsid w:val="0055416F"/>
    <w:rsid w:val="00A07E5F"/>
    <w:rsid w:val="00A6611B"/>
    <w:rsid w:val="00B671B9"/>
    <w:rsid w:val="00BB7A81"/>
    <w:rsid w:val="00C93E22"/>
    <w:rsid w:val="00D56E0C"/>
    <w:rsid w:val="00DE573F"/>
    <w:rsid w:val="00F911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nhideWhenUsed="0"/>
    <w:lsdException w:name="caption" w:uiPriority="35" w:qFormat="1"/>
    <w:lsdException w:name="page number" w:unhideWhenUsed="0"/>
    <w:lsdException w:name="List" w:unhideWhenUsed="0"/>
    <w:lsdException w:name="Title" w:semiHidden="0" w:uiPriority="0" w:unhideWhenUsed="0" w:qFormat="1"/>
    <w:lsdException w:name="Default Paragraph Font" w:unhideWhenUsed="0"/>
    <w:lsdException w:name="Body Text" w:uiPriority="0" w:unhideWhenUsed="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qFormat/>
    <w:rsid w:val="00C93E22"/>
    <w:pPr>
      <w:keepNext/>
      <w:outlineLvl w:val="0"/>
    </w:pPr>
    <w:rPr>
      <w:rFonts w:eastAsia="Times New Roman"/>
      <w:b/>
      <w:bCs/>
      <w:lang w:val="es-MX"/>
    </w:rPr>
  </w:style>
  <w:style w:type="paragraph" w:styleId="Ttulo2">
    <w:name w:val="heading 2"/>
    <w:basedOn w:val="Normal"/>
    <w:next w:val="Normal"/>
    <w:link w:val="Ttulo2Car"/>
    <w:qFormat/>
    <w:rsid w:val="00C93E22"/>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ar"/>
    <w:autoRedefine/>
    <w:qFormat/>
    <w:rsid w:val="00C93E22"/>
    <w:pPr>
      <w:keepNext/>
      <w:spacing w:line="360" w:lineRule="auto"/>
      <w:jc w:val="both"/>
      <w:outlineLvl w:val="2"/>
    </w:pPr>
    <w:rPr>
      <w:rFonts w:eastAsia="Arial Unicode MS"/>
      <w:b/>
      <w:bCs/>
      <w:noProof/>
      <w:kern w:val="18"/>
      <w:szCs w:val="20"/>
      <w:lang w:val="es-MX"/>
    </w:rPr>
  </w:style>
  <w:style w:type="paragraph" w:styleId="Ttulo6">
    <w:name w:val="heading 6"/>
    <w:basedOn w:val="Normal"/>
    <w:next w:val="Normal"/>
    <w:link w:val="Ttulo6Car"/>
    <w:uiPriority w:val="99"/>
    <w:qFormat/>
    <w:pPr>
      <w:keepNext/>
      <w:spacing w:line="360" w:lineRule="auto"/>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9"/>
    <w:rPr>
      <w:rFonts w:ascii="Arial" w:hAnsi="Arial" w:cs="Arial"/>
      <w:b/>
      <w:bCs/>
      <w:sz w:val="20"/>
      <w:szCs w:val="20"/>
      <w:lang w:val="es-ES" w:eastAsia="es-ES"/>
    </w:rPr>
  </w:style>
  <w:style w:type="paragraph" w:styleId="Textoindependiente">
    <w:name w:val="Body Text"/>
    <w:basedOn w:val="Normal"/>
    <w:link w:val="TextoindependienteCar"/>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Lista">
    <w:name w:val="List"/>
    <w:basedOn w:val="Normal"/>
    <w:uiPriority w:val="99"/>
    <w:pPr>
      <w:spacing w:line="360" w:lineRule="auto"/>
      <w:ind w:left="283" w:hanging="283"/>
      <w:jc w:val="both"/>
    </w:pPr>
    <w:rPr>
      <w:kern w:val="18"/>
      <w:lang w:val="es-ES_tradnl"/>
    </w:rPr>
  </w:style>
  <w:style w:type="character" w:customStyle="1" w:styleId="Ttulo1Car">
    <w:name w:val="Título 1 Car"/>
    <w:basedOn w:val="Fuentedeprrafopredeter"/>
    <w:link w:val="Ttulo1"/>
    <w:rsid w:val="00C93E22"/>
    <w:rPr>
      <w:rFonts w:ascii="Arial" w:eastAsia="Times New Roman" w:hAnsi="Arial" w:cs="Arial"/>
      <w:b/>
      <w:bCs/>
      <w:sz w:val="24"/>
      <w:szCs w:val="24"/>
      <w:lang w:val="es-MX"/>
    </w:rPr>
  </w:style>
  <w:style w:type="paragraph" w:styleId="NormalWeb">
    <w:name w:val="Normal (Web)"/>
    <w:basedOn w:val="Normal"/>
    <w:semiHidden/>
    <w:rsid w:val="00C93E22"/>
    <w:pPr>
      <w:spacing w:before="100" w:beforeAutospacing="1" w:after="100" w:afterAutospacing="1"/>
    </w:pPr>
    <w:rPr>
      <w:rFonts w:ascii="Arial Unicode MS" w:eastAsia="Arial Unicode MS" w:hAnsi="Arial Unicode MS" w:cs="Arial Unicode MS"/>
    </w:rPr>
  </w:style>
  <w:style w:type="paragraph" w:styleId="Textoindependiente2">
    <w:name w:val="Body Text 2"/>
    <w:basedOn w:val="Normal"/>
    <w:link w:val="Textoindependiente2Car"/>
    <w:semiHidden/>
    <w:rsid w:val="00C93E22"/>
    <w:pPr>
      <w:jc w:val="both"/>
    </w:pPr>
    <w:rPr>
      <w:rFonts w:eastAsia="Times New Roman"/>
      <w:lang w:val="es-MX"/>
    </w:rPr>
  </w:style>
  <w:style w:type="character" w:customStyle="1" w:styleId="Textoindependiente2Car">
    <w:name w:val="Texto independiente 2 Car"/>
    <w:basedOn w:val="Fuentedeprrafopredeter"/>
    <w:link w:val="Textoindependiente2"/>
    <w:semiHidden/>
    <w:rsid w:val="00C93E22"/>
    <w:rPr>
      <w:rFonts w:ascii="Arial" w:eastAsia="Times New Roman" w:hAnsi="Arial" w:cs="Arial"/>
      <w:sz w:val="24"/>
      <w:szCs w:val="24"/>
      <w:lang w:val="es-MX"/>
    </w:rPr>
  </w:style>
  <w:style w:type="paragraph" w:styleId="Ttulo">
    <w:name w:val="Title"/>
    <w:basedOn w:val="Normal"/>
    <w:next w:val="Normal"/>
    <w:link w:val="TtuloCar"/>
    <w:qFormat/>
    <w:rsid w:val="00C93E22"/>
    <w:pPr>
      <w:spacing w:line="360" w:lineRule="auto"/>
      <w:outlineLvl w:val="0"/>
    </w:pPr>
    <w:rPr>
      <w:rFonts w:eastAsia="Times New Roman" w:cs="Times New Roman"/>
      <w:b/>
      <w:caps/>
      <w:kern w:val="18"/>
      <w:sz w:val="28"/>
      <w:szCs w:val="20"/>
    </w:rPr>
  </w:style>
  <w:style w:type="character" w:customStyle="1" w:styleId="TtuloCar">
    <w:name w:val="Título Car"/>
    <w:basedOn w:val="Fuentedeprrafopredeter"/>
    <w:link w:val="Ttulo"/>
    <w:rsid w:val="00C93E22"/>
    <w:rPr>
      <w:rFonts w:ascii="Arial" w:eastAsia="Times New Roman" w:hAnsi="Arial" w:cs="Times New Roman"/>
      <w:b/>
      <w:caps/>
      <w:kern w:val="18"/>
      <w:sz w:val="28"/>
      <w:szCs w:val="20"/>
    </w:rPr>
  </w:style>
  <w:style w:type="paragraph" w:styleId="Subttulo">
    <w:name w:val="Subtitle"/>
    <w:basedOn w:val="Normal"/>
    <w:link w:val="SubttuloCar"/>
    <w:qFormat/>
    <w:rsid w:val="00C93E22"/>
    <w:pPr>
      <w:spacing w:line="360" w:lineRule="auto"/>
      <w:jc w:val="both"/>
    </w:pPr>
    <w:rPr>
      <w:rFonts w:ascii="Bookman Old Style" w:eastAsia="Times New Roman" w:hAnsi="Bookman Old Style" w:cs="Times New Roman"/>
      <w:b/>
      <w:kern w:val="18"/>
      <w:szCs w:val="20"/>
    </w:rPr>
  </w:style>
  <w:style w:type="character" w:customStyle="1" w:styleId="SubttuloCar">
    <w:name w:val="Subtítulo Car"/>
    <w:basedOn w:val="Fuentedeprrafopredeter"/>
    <w:link w:val="Subttulo"/>
    <w:rsid w:val="00C93E22"/>
    <w:rPr>
      <w:rFonts w:ascii="Bookman Old Style" w:eastAsia="Times New Roman" w:hAnsi="Bookman Old Style" w:cs="Times New Roman"/>
      <w:b/>
      <w:kern w:val="18"/>
      <w:sz w:val="24"/>
      <w:szCs w:val="20"/>
    </w:rPr>
  </w:style>
  <w:style w:type="character" w:customStyle="1" w:styleId="apple-converted-space">
    <w:name w:val="apple-converted-space"/>
    <w:rsid w:val="00C93E22"/>
  </w:style>
  <w:style w:type="paragraph" w:styleId="Prrafodelista">
    <w:name w:val="List Paragraph"/>
    <w:basedOn w:val="Normal"/>
    <w:uiPriority w:val="34"/>
    <w:qFormat/>
    <w:rsid w:val="00C93E22"/>
    <w:pPr>
      <w:ind w:left="708"/>
    </w:pPr>
    <w:rPr>
      <w:rFonts w:ascii="Times New Roman" w:eastAsia="Times New Roman" w:hAnsi="Times New Roman" w:cs="Times New Roman"/>
    </w:rPr>
  </w:style>
  <w:style w:type="character" w:customStyle="1" w:styleId="Ttulo2Car">
    <w:name w:val="Título 2 Car"/>
    <w:basedOn w:val="Fuentedeprrafopredeter"/>
    <w:link w:val="Ttulo2"/>
    <w:rsid w:val="00C93E2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C93E22"/>
    <w:rPr>
      <w:rFonts w:ascii="Arial" w:eastAsia="Arial Unicode MS" w:hAnsi="Arial" w:cs="Arial"/>
      <w:b/>
      <w:bCs/>
      <w:noProof/>
      <w:kern w:val="18"/>
      <w:sz w:val="24"/>
      <w:szCs w:val="20"/>
      <w:lang w:val="es-MX"/>
    </w:rPr>
  </w:style>
  <w:style w:type="paragraph" w:styleId="Encabezado">
    <w:name w:val="header"/>
    <w:basedOn w:val="Normal"/>
    <w:link w:val="EncabezadoCar"/>
    <w:semiHidden/>
    <w:rsid w:val="00C93E22"/>
    <w:pPr>
      <w:tabs>
        <w:tab w:val="center" w:pos="4252"/>
        <w:tab w:val="right" w:pos="8504"/>
      </w:tabs>
    </w:pPr>
    <w:rPr>
      <w:rFonts w:ascii="Times New Roman" w:eastAsia="Times New Roman" w:hAnsi="Times New Roman" w:cs="Times New Roman"/>
    </w:rPr>
  </w:style>
  <w:style w:type="character" w:customStyle="1" w:styleId="EncabezadoCar">
    <w:name w:val="Encabezado Car"/>
    <w:basedOn w:val="Fuentedeprrafopredeter"/>
    <w:link w:val="Encabezado"/>
    <w:semiHidden/>
    <w:rsid w:val="00C93E22"/>
    <w:rPr>
      <w:rFonts w:ascii="Times New Roman" w:eastAsia="Times New Roman" w:hAnsi="Times New Roman" w:cs="Times New Roman"/>
      <w:sz w:val="24"/>
      <w:szCs w:val="24"/>
    </w:rPr>
  </w:style>
  <w:style w:type="paragraph" w:customStyle="1" w:styleId="Textoindependiente21">
    <w:name w:val="Texto independiente 21"/>
    <w:basedOn w:val="Normal"/>
    <w:rsid w:val="00C93E22"/>
    <w:pPr>
      <w:suppressAutoHyphens/>
      <w:spacing w:line="360" w:lineRule="auto"/>
      <w:jc w:val="both"/>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nhideWhenUsed="0"/>
    <w:lsdException w:name="caption" w:uiPriority="35" w:qFormat="1"/>
    <w:lsdException w:name="page number" w:unhideWhenUsed="0"/>
    <w:lsdException w:name="List" w:unhideWhenUsed="0"/>
    <w:lsdException w:name="Title" w:semiHidden="0" w:uiPriority="0" w:unhideWhenUsed="0" w:qFormat="1"/>
    <w:lsdException w:name="Default Paragraph Font" w:unhideWhenUsed="0"/>
    <w:lsdException w:name="Body Text" w:uiPriority="0" w:unhideWhenUsed="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1">
    <w:name w:val="heading 1"/>
    <w:basedOn w:val="Normal"/>
    <w:next w:val="Normal"/>
    <w:link w:val="Ttulo1Car"/>
    <w:qFormat/>
    <w:rsid w:val="00C93E22"/>
    <w:pPr>
      <w:keepNext/>
      <w:outlineLvl w:val="0"/>
    </w:pPr>
    <w:rPr>
      <w:rFonts w:eastAsia="Times New Roman"/>
      <w:b/>
      <w:bCs/>
      <w:lang w:val="es-MX"/>
    </w:rPr>
  </w:style>
  <w:style w:type="paragraph" w:styleId="Ttulo2">
    <w:name w:val="heading 2"/>
    <w:basedOn w:val="Normal"/>
    <w:next w:val="Normal"/>
    <w:link w:val="Ttulo2Car"/>
    <w:qFormat/>
    <w:rsid w:val="00C93E22"/>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ar"/>
    <w:autoRedefine/>
    <w:qFormat/>
    <w:rsid w:val="00C93E22"/>
    <w:pPr>
      <w:keepNext/>
      <w:spacing w:line="360" w:lineRule="auto"/>
      <w:jc w:val="both"/>
      <w:outlineLvl w:val="2"/>
    </w:pPr>
    <w:rPr>
      <w:rFonts w:eastAsia="Arial Unicode MS"/>
      <w:b/>
      <w:bCs/>
      <w:noProof/>
      <w:kern w:val="18"/>
      <w:szCs w:val="20"/>
      <w:lang w:val="es-MX"/>
    </w:rPr>
  </w:style>
  <w:style w:type="paragraph" w:styleId="Ttulo6">
    <w:name w:val="heading 6"/>
    <w:basedOn w:val="Normal"/>
    <w:next w:val="Normal"/>
    <w:link w:val="Ttulo6Car"/>
    <w:uiPriority w:val="99"/>
    <w:qFormat/>
    <w:pPr>
      <w:keepNext/>
      <w:spacing w:line="360" w:lineRule="auto"/>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9"/>
    <w:rPr>
      <w:rFonts w:ascii="Arial" w:hAnsi="Arial" w:cs="Arial"/>
      <w:b/>
      <w:bCs/>
      <w:sz w:val="20"/>
      <w:szCs w:val="20"/>
      <w:lang w:val="es-ES" w:eastAsia="es-ES"/>
    </w:rPr>
  </w:style>
  <w:style w:type="paragraph" w:styleId="Textoindependiente">
    <w:name w:val="Body Text"/>
    <w:basedOn w:val="Normal"/>
    <w:link w:val="TextoindependienteCar"/>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Lista">
    <w:name w:val="List"/>
    <w:basedOn w:val="Normal"/>
    <w:uiPriority w:val="99"/>
    <w:pPr>
      <w:spacing w:line="360" w:lineRule="auto"/>
      <w:ind w:left="283" w:hanging="283"/>
      <w:jc w:val="both"/>
    </w:pPr>
    <w:rPr>
      <w:kern w:val="18"/>
      <w:lang w:val="es-ES_tradnl"/>
    </w:rPr>
  </w:style>
  <w:style w:type="character" w:customStyle="1" w:styleId="Ttulo1Car">
    <w:name w:val="Título 1 Car"/>
    <w:basedOn w:val="Fuentedeprrafopredeter"/>
    <w:link w:val="Ttulo1"/>
    <w:rsid w:val="00C93E22"/>
    <w:rPr>
      <w:rFonts w:ascii="Arial" w:eastAsia="Times New Roman" w:hAnsi="Arial" w:cs="Arial"/>
      <w:b/>
      <w:bCs/>
      <w:sz w:val="24"/>
      <w:szCs w:val="24"/>
      <w:lang w:val="es-MX"/>
    </w:rPr>
  </w:style>
  <w:style w:type="paragraph" w:styleId="NormalWeb">
    <w:name w:val="Normal (Web)"/>
    <w:basedOn w:val="Normal"/>
    <w:semiHidden/>
    <w:rsid w:val="00C93E22"/>
    <w:pPr>
      <w:spacing w:before="100" w:beforeAutospacing="1" w:after="100" w:afterAutospacing="1"/>
    </w:pPr>
    <w:rPr>
      <w:rFonts w:ascii="Arial Unicode MS" w:eastAsia="Arial Unicode MS" w:hAnsi="Arial Unicode MS" w:cs="Arial Unicode MS"/>
    </w:rPr>
  </w:style>
  <w:style w:type="paragraph" w:styleId="Textoindependiente2">
    <w:name w:val="Body Text 2"/>
    <w:basedOn w:val="Normal"/>
    <w:link w:val="Textoindependiente2Car"/>
    <w:semiHidden/>
    <w:rsid w:val="00C93E22"/>
    <w:pPr>
      <w:jc w:val="both"/>
    </w:pPr>
    <w:rPr>
      <w:rFonts w:eastAsia="Times New Roman"/>
      <w:lang w:val="es-MX"/>
    </w:rPr>
  </w:style>
  <w:style w:type="character" w:customStyle="1" w:styleId="Textoindependiente2Car">
    <w:name w:val="Texto independiente 2 Car"/>
    <w:basedOn w:val="Fuentedeprrafopredeter"/>
    <w:link w:val="Textoindependiente2"/>
    <w:semiHidden/>
    <w:rsid w:val="00C93E22"/>
    <w:rPr>
      <w:rFonts w:ascii="Arial" w:eastAsia="Times New Roman" w:hAnsi="Arial" w:cs="Arial"/>
      <w:sz w:val="24"/>
      <w:szCs w:val="24"/>
      <w:lang w:val="es-MX"/>
    </w:rPr>
  </w:style>
  <w:style w:type="paragraph" w:styleId="Ttulo">
    <w:name w:val="Title"/>
    <w:basedOn w:val="Normal"/>
    <w:next w:val="Normal"/>
    <w:link w:val="TtuloCar"/>
    <w:qFormat/>
    <w:rsid w:val="00C93E22"/>
    <w:pPr>
      <w:spacing w:line="360" w:lineRule="auto"/>
      <w:outlineLvl w:val="0"/>
    </w:pPr>
    <w:rPr>
      <w:rFonts w:eastAsia="Times New Roman" w:cs="Times New Roman"/>
      <w:b/>
      <w:caps/>
      <w:kern w:val="18"/>
      <w:sz w:val="28"/>
      <w:szCs w:val="20"/>
    </w:rPr>
  </w:style>
  <w:style w:type="character" w:customStyle="1" w:styleId="TtuloCar">
    <w:name w:val="Título Car"/>
    <w:basedOn w:val="Fuentedeprrafopredeter"/>
    <w:link w:val="Ttulo"/>
    <w:rsid w:val="00C93E22"/>
    <w:rPr>
      <w:rFonts w:ascii="Arial" w:eastAsia="Times New Roman" w:hAnsi="Arial" w:cs="Times New Roman"/>
      <w:b/>
      <w:caps/>
      <w:kern w:val="18"/>
      <w:sz w:val="28"/>
      <w:szCs w:val="20"/>
    </w:rPr>
  </w:style>
  <w:style w:type="paragraph" w:styleId="Subttulo">
    <w:name w:val="Subtitle"/>
    <w:basedOn w:val="Normal"/>
    <w:link w:val="SubttuloCar"/>
    <w:qFormat/>
    <w:rsid w:val="00C93E22"/>
    <w:pPr>
      <w:spacing w:line="360" w:lineRule="auto"/>
      <w:jc w:val="both"/>
    </w:pPr>
    <w:rPr>
      <w:rFonts w:ascii="Bookman Old Style" w:eastAsia="Times New Roman" w:hAnsi="Bookman Old Style" w:cs="Times New Roman"/>
      <w:b/>
      <w:kern w:val="18"/>
      <w:szCs w:val="20"/>
    </w:rPr>
  </w:style>
  <w:style w:type="character" w:customStyle="1" w:styleId="SubttuloCar">
    <w:name w:val="Subtítulo Car"/>
    <w:basedOn w:val="Fuentedeprrafopredeter"/>
    <w:link w:val="Subttulo"/>
    <w:rsid w:val="00C93E22"/>
    <w:rPr>
      <w:rFonts w:ascii="Bookman Old Style" w:eastAsia="Times New Roman" w:hAnsi="Bookman Old Style" w:cs="Times New Roman"/>
      <w:b/>
      <w:kern w:val="18"/>
      <w:sz w:val="24"/>
      <w:szCs w:val="20"/>
    </w:rPr>
  </w:style>
  <w:style w:type="character" w:customStyle="1" w:styleId="apple-converted-space">
    <w:name w:val="apple-converted-space"/>
    <w:rsid w:val="00C93E22"/>
  </w:style>
  <w:style w:type="paragraph" w:styleId="Prrafodelista">
    <w:name w:val="List Paragraph"/>
    <w:basedOn w:val="Normal"/>
    <w:uiPriority w:val="34"/>
    <w:qFormat/>
    <w:rsid w:val="00C93E22"/>
    <w:pPr>
      <w:ind w:left="708"/>
    </w:pPr>
    <w:rPr>
      <w:rFonts w:ascii="Times New Roman" w:eastAsia="Times New Roman" w:hAnsi="Times New Roman" w:cs="Times New Roman"/>
    </w:rPr>
  </w:style>
  <w:style w:type="character" w:customStyle="1" w:styleId="Ttulo2Car">
    <w:name w:val="Título 2 Car"/>
    <w:basedOn w:val="Fuentedeprrafopredeter"/>
    <w:link w:val="Ttulo2"/>
    <w:rsid w:val="00C93E2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C93E22"/>
    <w:rPr>
      <w:rFonts w:ascii="Arial" w:eastAsia="Arial Unicode MS" w:hAnsi="Arial" w:cs="Arial"/>
      <w:b/>
      <w:bCs/>
      <w:noProof/>
      <w:kern w:val="18"/>
      <w:sz w:val="24"/>
      <w:szCs w:val="20"/>
      <w:lang w:val="es-MX"/>
    </w:rPr>
  </w:style>
  <w:style w:type="paragraph" w:styleId="Encabezado">
    <w:name w:val="header"/>
    <w:basedOn w:val="Normal"/>
    <w:link w:val="EncabezadoCar"/>
    <w:semiHidden/>
    <w:rsid w:val="00C93E22"/>
    <w:pPr>
      <w:tabs>
        <w:tab w:val="center" w:pos="4252"/>
        <w:tab w:val="right" w:pos="8504"/>
      </w:tabs>
    </w:pPr>
    <w:rPr>
      <w:rFonts w:ascii="Times New Roman" w:eastAsia="Times New Roman" w:hAnsi="Times New Roman" w:cs="Times New Roman"/>
    </w:rPr>
  </w:style>
  <w:style w:type="character" w:customStyle="1" w:styleId="EncabezadoCar">
    <w:name w:val="Encabezado Car"/>
    <w:basedOn w:val="Fuentedeprrafopredeter"/>
    <w:link w:val="Encabezado"/>
    <w:semiHidden/>
    <w:rsid w:val="00C93E22"/>
    <w:rPr>
      <w:rFonts w:ascii="Times New Roman" w:eastAsia="Times New Roman" w:hAnsi="Times New Roman" w:cs="Times New Roman"/>
      <w:sz w:val="24"/>
      <w:szCs w:val="24"/>
    </w:rPr>
  </w:style>
  <w:style w:type="paragraph" w:customStyle="1" w:styleId="Textoindependiente21">
    <w:name w:val="Texto independiente 21"/>
    <w:basedOn w:val="Normal"/>
    <w:rsid w:val="00C93E22"/>
    <w:pPr>
      <w:suppressAutoHyphens/>
      <w:spacing w:line="360" w:lineRule="auto"/>
      <w:jc w:val="both"/>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3692</Words>
  <Characters>20411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Expediente Nº 2014-17-1-0005219</vt:lpstr>
    </vt:vector>
  </TitlesOfParts>
  <Company>Tribunal de Cuentas</Company>
  <LinksUpToDate>false</LinksUpToDate>
  <CharactersWithSpaces>24055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Nº 2014-17-1-0005219</dc:title>
  <dc:subject/>
  <dc:creator>Gustavo De Souza</dc:creator>
  <cp:keywords/>
  <dc:description/>
  <cp:lastModifiedBy> </cp:lastModifiedBy>
  <cp:revision>7</cp:revision>
  <dcterms:created xsi:type="dcterms:W3CDTF">2014-11-28T17:14:00Z</dcterms:created>
  <dcterms:modified xsi:type="dcterms:W3CDTF">2015-01-28T16:55:00Z</dcterms:modified>
</cp:coreProperties>
</file>