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699" w:rsidRPr="00081699" w:rsidRDefault="00081699" w:rsidP="00081699">
      <w:pPr>
        <w:tabs>
          <w:tab w:val="center" w:pos="4253"/>
        </w:tabs>
        <w:suppressAutoHyphens/>
        <w:jc w:val="center"/>
        <w:rPr>
          <w:rFonts w:ascii="Helvetica" w:hAnsi="Helvetica"/>
          <w:b/>
          <w:color w:val="000000"/>
          <w:szCs w:val="20"/>
          <w:lang w:val="es-ES_tradnl"/>
        </w:rPr>
      </w:pPr>
      <w:bookmarkStart w:id="0" w:name="_GoBack"/>
      <w:bookmarkEnd w:id="0"/>
      <w:r w:rsidRPr="00081699">
        <w:rPr>
          <w:rFonts w:ascii="Helvetica" w:hAnsi="Helvetica"/>
          <w:b/>
          <w:color w:val="000000"/>
          <w:szCs w:val="20"/>
          <w:lang w:val="es-ES_tradnl"/>
        </w:rPr>
        <w:t>RESOLUCION ADOPTADA POR EL</w:t>
      </w:r>
    </w:p>
    <w:p w:rsidR="00081699" w:rsidRPr="00081699" w:rsidRDefault="00081699" w:rsidP="00081699">
      <w:pPr>
        <w:tabs>
          <w:tab w:val="left" w:pos="-720"/>
        </w:tabs>
        <w:suppressAutoHyphens/>
        <w:jc w:val="center"/>
        <w:rPr>
          <w:rFonts w:ascii="Helvetica" w:hAnsi="Helvetica"/>
          <w:b/>
          <w:color w:val="000000"/>
          <w:szCs w:val="20"/>
          <w:lang w:val="es-ES_tradnl"/>
        </w:rPr>
      </w:pPr>
    </w:p>
    <w:p w:rsidR="00081699" w:rsidRPr="00081699" w:rsidRDefault="00081699" w:rsidP="00081699">
      <w:pPr>
        <w:tabs>
          <w:tab w:val="center" w:pos="4253"/>
        </w:tabs>
        <w:suppressAutoHyphens/>
        <w:jc w:val="center"/>
        <w:rPr>
          <w:rFonts w:ascii="Helvetica" w:hAnsi="Helvetica"/>
          <w:b/>
          <w:color w:val="000000"/>
          <w:szCs w:val="20"/>
          <w:lang w:val="es-ES_tradnl"/>
        </w:rPr>
      </w:pPr>
      <w:r w:rsidRPr="00081699">
        <w:rPr>
          <w:rFonts w:ascii="Helvetica" w:hAnsi="Helvetica"/>
          <w:b/>
          <w:color w:val="000000"/>
          <w:szCs w:val="20"/>
          <w:lang w:val="es-ES_tradnl"/>
        </w:rPr>
        <w:t>TRIBUNAL DE CUENTAS</w:t>
      </w:r>
    </w:p>
    <w:p w:rsidR="00081699" w:rsidRPr="00081699" w:rsidRDefault="00081699" w:rsidP="00081699">
      <w:pPr>
        <w:tabs>
          <w:tab w:val="left" w:pos="-720"/>
        </w:tabs>
        <w:suppressAutoHyphens/>
        <w:jc w:val="center"/>
        <w:rPr>
          <w:rFonts w:ascii="Helvetica" w:hAnsi="Helvetica"/>
          <w:b/>
          <w:color w:val="000000"/>
          <w:szCs w:val="20"/>
          <w:lang w:val="es-ES_tradnl"/>
        </w:rPr>
      </w:pPr>
    </w:p>
    <w:p w:rsidR="00081699" w:rsidRPr="00081699" w:rsidRDefault="00081699" w:rsidP="00081699">
      <w:pPr>
        <w:tabs>
          <w:tab w:val="center" w:pos="4253"/>
        </w:tabs>
        <w:suppressAutoHyphens/>
        <w:jc w:val="center"/>
        <w:rPr>
          <w:rFonts w:ascii="Helvetica" w:hAnsi="Helvetica"/>
          <w:b/>
          <w:color w:val="000000"/>
          <w:szCs w:val="20"/>
          <w:lang w:val="es-ES_tradnl"/>
        </w:rPr>
      </w:pPr>
      <w:r w:rsidRPr="00081699">
        <w:rPr>
          <w:rFonts w:ascii="Helvetica" w:hAnsi="Helvetica"/>
          <w:b/>
          <w:color w:val="000000"/>
          <w:szCs w:val="20"/>
          <w:lang w:val="es-ES_tradnl"/>
        </w:rPr>
        <w:t>EN SESION DE FECHA 30 DE DICIEMBRE DE 2014</w:t>
      </w:r>
    </w:p>
    <w:p w:rsidR="00081699" w:rsidRPr="00081699" w:rsidRDefault="00081699" w:rsidP="00081699">
      <w:pPr>
        <w:tabs>
          <w:tab w:val="center" w:pos="4253"/>
        </w:tabs>
        <w:suppressAutoHyphens/>
        <w:jc w:val="center"/>
        <w:rPr>
          <w:rFonts w:ascii="Helvetica" w:hAnsi="Helvetica"/>
          <w:b/>
          <w:color w:val="000000"/>
          <w:szCs w:val="20"/>
          <w:lang w:val="es-ES_tradnl"/>
        </w:rPr>
      </w:pPr>
    </w:p>
    <w:p w:rsidR="00081699" w:rsidRDefault="00081699" w:rsidP="00081699">
      <w:pPr>
        <w:pStyle w:val="Textoindependiente"/>
        <w:spacing w:after="0" w:line="360" w:lineRule="auto"/>
        <w:jc w:val="center"/>
        <w:rPr>
          <w:b/>
          <w:bCs/>
        </w:rPr>
      </w:pPr>
      <w:r w:rsidRPr="00081699">
        <w:rPr>
          <w:rFonts w:ascii="Helvetica" w:hAnsi="Helvetica"/>
          <w:b/>
          <w:color w:val="000000"/>
          <w:kern w:val="0"/>
          <w:lang w:val="es-UY"/>
        </w:rPr>
        <w:t>(E. E. Nº 2014-17-1-000</w:t>
      </w:r>
      <w:r>
        <w:rPr>
          <w:rFonts w:ascii="Helvetica" w:hAnsi="Helvetica"/>
          <w:b/>
          <w:color w:val="000000"/>
          <w:kern w:val="0"/>
          <w:lang w:val="es-UY"/>
        </w:rPr>
        <w:t>5103</w:t>
      </w:r>
      <w:r w:rsidRPr="00081699">
        <w:rPr>
          <w:rFonts w:ascii="Helvetica" w:hAnsi="Helvetica"/>
          <w:b/>
          <w:color w:val="000000"/>
          <w:kern w:val="0"/>
          <w:lang w:val="es-UY"/>
        </w:rPr>
        <w:t xml:space="preserve">, </w:t>
      </w:r>
      <w:proofErr w:type="spellStart"/>
      <w:r w:rsidRPr="00081699">
        <w:rPr>
          <w:rFonts w:ascii="Helvetica" w:hAnsi="Helvetica"/>
          <w:b/>
          <w:color w:val="000000"/>
          <w:kern w:val="0"/>
          <w:lang w:val="es-UY"/>
        </w:rPr>
        <w:t>Ent</w:t>
      </w:r>
      <w:proofErr w:type="spellEnd"/>
      <w:r w:rsidRPr="00081699">
        <w:rPr>
          <w:rFonts w:ascii="Helvetica" w:hAnsi="Helvetica"/>
          <w:b/>
          <w:color w:val="000000"/>
          <w:kern w:val="0"/>
          <w:lang w:val="es-UY"/>
        </w:rPr>
        <w:t xml:space="preserve">. N° </w:t>
      </w:r>
      <w:r>
        <w:rPr>
          <w:rFonts w:ascii="Helvetica" w:hAnsi="Helvetica"/>
          <w:b/>
          <w:color w:val="000000"/>
          <w:kern w:val="0"/>
          <w:lang w:val="es-UY"/>
        </w:rPr>
        <w:t>3928</w:t>
      </w:r>
      <w:r w:rsidRPr="00081699">
        <w:rPr>
          <w:rFonts w:ascii="Helvetica" w:hAnsi="Helvetica"/>
          <w:b/>
          <w:color w:val="000000"/>
          <w:kern w:val="0"/>
          <w:lang w:val="es-UY"/>
        </w:rPr>
        <w:t>/14)</w:t>
      </w:r>
    </w:p>
    <w:p w:rsidR="00081699" w:rsidRDefault="00081699" w:rsidP="00423245">
      <w:pPr>
        <w:pStyle w:val="Textoindependiente"/>
        <w:spacing w:after="0" w:line="360" w:lineRule="auto"/>
        <w:jc w:val="left"/>
        <w:rPr>
          <w:b/>
          <w:bCs/>
        </w:rPr>
      </w:pPr>
    </w:p>
    <w:p w:rsidR="00004E2E" w:rsidRDefault="00004E2E" w:rsidP="000D14FE">
      <w:pPr>
        <w:spacing w:line="360" w:lineRule="auto"/>
        <w:ind w:firstLine="851"/>
        <w:jc w:val="both"/>
      </w:pPr>
      <w:r>
        <w:rPr>
          <w:b/>
        </w:rPr>
        <w:t>VISTO:</w:t>
      </w:r>
      <w:r>
        <w:t xml:space="preserve"> que este Tribunal ha examinado la Rendición de Cuentas y Balance de Ejecución Presupuestal de la </w:t>
      </w:r>
      <w:r w:rsidR="00ED4CAE">
        <w:t xml:space="preserve">Intendencia </w:t>
      </w:r>
      <w:r>
        <w:t xml:space="preserve">de Río Negro correspondiente al </w:t>
      </w:r>
      <w:r w:rsidR="000D14FE">
        <w:t>E</w:t>
      </w:r>
      <w:r>
        <w:t xml:space="preserve">jercicio </w:t>
      </w:r>
      <w:r w:rsidR="008522A7">
        <w:t>2013</w:t>
      </w:r>
      <w:r>
        <w:t>;</w:t>
      </w:r>
    </w:p>
    <w:p w:rsidR="00004E2E" w:rsidRDefault="00004E2E" w:rsidP="000D14FE">
      <w:pPr>
        <w:spacing w:line="360" w:lineRule="auto"/>
        <w:ind w:firstLine="851"/>
        <w:jc w:val="both"/>
      </w:pPr>
      <w:r>
        <w:rPr>
          <w:b/>
        </w:rPr>
        <w:t xml:space="preserve">RESULTANDO: </w:t>
      </w:r>
      <w:r>
        <w:t>que el examen se efectuó de acuerdo con los Principios Fundamentales de Auditoría (ISSAI 100</w:t>
      </w:r>
      <w:r w:rsidR="008522A7">
        <w:t xml:space="preserve"> </w:t>
      </w:r>
      <w:r>
        <w:t xml:space="preserve">y </w:t>
      </w:r>
      <w:r w:rsidR="008522A7">
        <w:t>200</w:t>
      </w:r>
      <w:r>
        <w:t xml:space="preserve">) y las Directrices de Auditoría Financiera (ISSAI 1000 a </w:t>
      </w:r>
      <w:r w:rsidR="008522A7">
        <w:t>1810</w:t>
      </w:r>
      <w:r>
        <w:t>) de la Organización Internacional de Entidades Fiscalizadoras Superiores (INTOSAI), habiéndose llevado a cabo los procedimientos considerados necesarios en las circunstancias;</w:t>
      </w:r>
    </w:p>
    <w:p w:rsidR="00004E2E" w:rsidRDefault="00004E2E" w:rsidP="000D14FE">
      <w:pPr>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004E2E" w:rsidRDefault="00004E2E" w:rsidP="000D14FE">
      <w:pPr>
        <w:spacing w:line="360" w:lineRule="auto"/>
        <w:ind w:firstLine="851"/>
        <w:jc w:val="both"/>
      </w:pPr>
      <w:r>
        <w:rPr>
          <w:b/>
        </w:rPr>
        <w:t xml:space="preserve">ATENTO: </w:t>
      </w:r>
      <w:r>
        <w:t>a lo dispuesto por el Art</w:t>
      </w:r>
      <w:r w:rsidR="0096436D">
        <w:t>ículo 211 Literal</w:t>
      </w:r>
      <w:r>
        <w:t xml:space="preserve"> C) de la Constitución de la República;</w:t>
      </w:r>
    </w:p>
    <w:p w:rsidR="00004E2E" w:rsidRDefault="00004E2E" w:rsidP="00004E2E">
      <w:pPr>
        <w:spacing w:line="360" w:lineRule="auto"/>
        <w:jc w:val="center"/>
        <w:rPr>
          <w:b/>
          <w:bCs/>
        </w:rPr>
      </w:pPr>
      <w:bookmarkStart w:id="1" w:name="_Toc75256577"/>
      <w:r>
        <w:rPr>
          <w:b/>
          <w:bCs/>
        </w:rPr>
        <w:t>EL TRIBUNAL ACUERDA</w:t>
      </w:r>
      <w:bookmarkEnd w:id="1"/>
    </w:p>
    <w:p w:rsidR="00004E2E" w:rsidRDefault="002E49CF" w:rsidP="00004E2E">
      <w:pPr>
        <w:numPr>
          <w:ilvl w:val="0"/>
          <w:numId w:val="1"/>
        </w:numPr>
        <w:spacing w:line="360" w:lineRule="auto"/>
        <w:jc w:val="both"/>
      </w:pPr>
      <w:r>
        <w:t>Expedirse respecto</w:t>
      </w:r>
      <w:r w:rsidR="00004E2E">
        <w:t xml:space="preserve"> de la Rendición de Cuentas y Balance de Ejecución Presupuestal de la </w:t>
      </w:r>
      <w:r w:rsidR="00ED4CAE">
        <w:t>Intendencia</w:t>
      </w:r>
      <w:r w:rsidR="00004E2E">
        <w:t xml:space="preserve"> de Río Negro correspondiente al </w:t>
      </w:r>
      <w:r w:rsidR="00C37904">
        <w:t xml:space="preserve">       E</w:t>
      </w:r>
      <w:r w:rsidR="00004E2E">
        <w:t xml:space="preserve">jercicio </w:t>
      </w:r>
      <w:r w:rsidR="004F6C84">
        <w:t>2013</w:t>
      </w:r>
      <w:r w:rsidR="00004E2E">
        <w:t>, en los términos del Informe de Auditoría que se adjunta</w:t>
      </w:r>
      <w:r w:rsidR="00ED4CAE">
        <w:t>;</w:t>
      </w:r>
    </w:p>
    <w:p w:rsidR="00ED4CAE" w:rsidRDefault="00004E2E" w:rsidP="00004E2E">
      <w:pPr>
        <w:numPr>
          <w:ilvl w:val="0"/>
          <w:numId w:val="1"/>
        </w:numPr>
        <w:spacing w:line="360" w:lineRule="auto"/>
        <w:jc w:val="both"/>
      </w:pPr>
      <w:r>
        <w:t xml:space="preserve">Comunicar la presente Resolución a la </w:t>
      </w:r>
      <w:r w:rsidR="00ED4CAE">
        <w:t xml:space="preserve">Intendencia </w:t>
      </w:r>
      <w:r>
        <w:t>de Río Negro y al Contador Delegado</w:t>
      </w:r>
      <w:r w:rsidR="00ED4CAE">
        <w:t>;</w:t>
      </w:r>
    </w:p>
    <w:p w:rsidR="00004E2E" w:rsidRDefault="00004E2E" w:rsidP="00004E2E">
      <w:pPr>
        <w:numPr>
          <w:ilvl w:val="0"/>
          <w:numId w:val="1"/>
        </w:numPr>
        <w:spacing w:line="360" w:lineRule="auto"/>
        <w:jc w:val="both"/>
      </w:pPr>
      <w:r>
        <w:t>Dar cuenta a la Asamblea General</w:t>
      </w:r>
      <w:r w:rsidR="00ED4CAE">
        <w:t>; y</w:t>
      </w:r>
    </w:p>
    <w:p w:rsidR="00ED4CAE" w:rsidRDefault="00ED4CAE" w:rsidP="00004E2E">
      <w:pPr>
        <w:numPr>
          <w:ilvl w:val="0"/>
          <w:numId w:val="1"/>
        </w:numPr>
        <w:spacing w:line="360" w:lineRule="auto"/>
        <w:jc w:val="both"/>
      </w:pPr>
      <w:r>
        <w:t>Devolver los antecedentes a la Junta Departamental de Río Negro.</w:t>
      </w:r>
    </w:p>
    <w:p w:rsidR="001A0143" w:rsidRDefault="001A0143" w:rsidP="00004E2E">
      <w:pPr>
        <w:spacing w:line="360" w:lineRule="auto"/>
        <w:jc w:val="both"/>
      </w:pPr>
    </w:p>
    <w:p w:rsidR="000D14FE" w:rsidRDefault="000D14FE" w:rsidP="00004E2E">
      <w:pPr>
        <w:spacing w:line="360" w:lineRule="auto"/>
        <w:jc w:val="both"/>
      </w:pPr>
    </w:p>
    <w:p w:rsidR="00852D39" w:rsidRDefault="00852D39" w:rsidP="00004E2E">
      <w:pPr>
        <w:spacing w:line="360" w:lineRule="auto"/>
        <w:jc w:val="both"/>
      </w:pPr>
    </w:p>
    <w:p w:rsidR="00852D39" w:rsidRPr="00262DE0" w:rsidRDefault="00852D39" w:rsidP="00852D39">
      <w:pPr>
        <w:pStyle w:val="Ttulo1"/>
        <w:rPr>
          <w:highlight w:val="green"/>
        </w:rPr>
      </w:pPr>
      <w:r w:rsidRPr="00405919">
        <w:lastRenderedPageBreak/>
        <w:t>DICTAMEN</w:t>
      </w:r>
    </w:p>
    <w:p w:rsidR="00852D39" w:rsidRPr="00262DE0" w:rsidRDefault="00852D39" w:rsidP="00852D39">
      <w:pPr>
        <w:rPr>
          <w:highlight w:val="green"/>
        </w:rPr>
      </w:pPr>
    </w:p>
    <w:p w:rsidR="00852D39" w:rsidRPr="00405919" w:rsidRDefault="00852D39" w:rsidP="00852D39">
      <w:pPr>
        <w:pStyle w:val="Subttulo"/>
        <w:rPr>
          <w:rFonts w:ascii="Arial" w:hAnsi="Arial" w:cs="Arial"/>
          <w:b w:val="0"/>
        </w:rPr>
      </w:pPr>
      <w:r w:rsidRPr="00405919">
        <w:rPr>
          <w:rFonts w:ascii="Arial" w:hAnsi="Arial" w:cs="Arial"/>
          <w:b w:val="0"/>
        </w:rPr>
        <w:t>El Tribunal de Cuentas ha examinado la Rendición de Cuentas y el Balance de Ejecución Presupuestal de la Intendencia de Río Negro correspondiente al ejercicio 2013, que incluye los siguientes estados: de Ejecución Presupuestal con relación a los Recursos y a los Créditos, Resultado del Ejercicio, Resultado Acumulado y</w:t>
      </w:r>
      <w:r>
        <w:rPr>
          <w:rFonts w:ascii="Arial" w:hAnsi="Arial" w:cs="Arial"/>
          <w:b w:val="0"/>
        </w:rPr>
        <w:t xml:space="preserve"> otros estados complementarios.</w:t>
      </w:r>
    </w:p>
    <w:p w:rsidR="00852D39" w:rsidRDefault="00852D39" w:rsidP="00852D39">
      <w:pPr>
        <w:pStyle w:val="Subttulo"/>
        <w:rPr>
          <w:rFonts w:ascii="Arial" w:hAnsi="Arial" w:cs="Arial"/>
          <w:b w:val="0"/>
        </w:rPr>
      </w:pPr>
      <w:r w:rsidRPr="00405919">
        <w:rPr>
          <w:rFonts w:ascii="Arial" w:hAnsi="Arial" w:cs="Arial"/>
          <w:b w:val="0"/>
        </w:rPr>
        <w:t>También se presentan</w:t>
      </w:r>
      <w:r>
        <w:rPr>
          <w:rFonts w:ascii="Arial" w:hAnsi="Arial" w:cs="Arial"/>
          <w:b w:val="0"/>
        </w:rPr>
        <w:t>, en caso de corresponder,</w:t>
      </w:r>
      <w:r w:rsidRPr="00405919">
        <w:rPr>
          <w:rFonts w:ascii="Arial" w:hAnsi="Arial" w:cs="Arial"/>
          <w:b w:val="0"/>
        </w:rPr>
        <w:t xml:space="preserve"> los incumplimientos legales constatados por el Tribunal de Cuentas en el curso de la auditoría efectuada.</w:t>
      </w:r>
    </w:p>
    <w:p w:rsidR="00852D39" w:rsidRDefault="00852D39" w:rsidP="00852D39">
      <w:pPr>
        <w:pStyle w:val="Subttulo"/>
        <w:rPr>
          <w:rFonts w:ascii="Arial" w:hAnsi="Arial" w:cs="Arial"/>
          <w:b w:val="0"/>
        </w:rPr>
      </w:pPr>
    </w:p>
    <w:p w:rsidR="00852D39" w:rsidRPr="00405919" w:rsidRDefault="00852D39" w:rsidP="00852D39">
      <w:pPr>
        <w:pStyle w:val="Subttulo"/>
        <w:rPr>
          <w:rFonts w:ascii="Arial" w:hAnsi="Arial" w:cs="Arial"/>
          <w:bCs/>
        </w:rPr>
      </w:pPr>
      <w:r w:rsidRPr="00405919">
        <w:rPr>
          <w:rFonts w:ascii="Arial" w:hAnsi="Arial" w:cs="Arial"/>
          <w:bCs/>
        </w:rPr>
        <w:t>Responsabilidad de la Intendencia</w:t>
      </w:r>
    </w:p>
    <w:p w:rsidR="00852D39" w:rsidRDefault="00852D39" w:rsidP="00852D39">
      <w:pPr>
        <w:pStyle w:val="Subttulo"/>
        <w:rPr>
          <w:rFonts w:ascii="Arial" w:hAnsi="Arial" w:cs="Arial"/>
          <w:b w:val="0"/>
        </w:rPr>
      </w:pPr>
      <w:r w:rsidRPr="00405919">
        <w:rPr>
          <w:rFonts w:ascii="Arial" w:hAnsi="Arial" w:cs="Arial"/>
          <w:b w:val="0"/>
        </w:rPr>
        <w:t>La Intendencia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852D39" w:rsidRDefault="00852D39" w:rsidP="00852D39">
      <w:pPr>
        <w:pStyle w:val="Subttulo"/>
        <w:rPr>
          <w:rFonts w:ascii="Arial" w:hAnsi="Arial" w:cs="Arial"/>
          <w:b w:val="0"/>
        </w:rPr>
      </w:pPr>
    </w:p>
    <w:p w:rsidR="00852D39" w:rsidRPr="00405919" w:rsidRDefault="00852D39" w:rsidP="00852D39">
      <w:pPr>
        <w:pStyle w:val="Subttulo"/>
        <w:rPr>
          <w:rFonts w:ascii="Arial" w:hAnsi="Arial" w:cs="Arial"/>
          <w:bCs/>
        </w:rPr>
      </w:pPr>
      <w:r w:rsidRPr="00405919">
        <w:rPr>
          <w:rFonts w:ascii="Arial" w:hAnsi="Arial" w:cs="Arial"/>
          <w:bCs/>
        </w:rPr>
        <w:t>Responsabilidad del auditor</w:t>
      </w:r>
    </w:p>
    <w:p w:rsidR="00852D39" w:rsidRDefault="00852D39" w:rsidP="00852D39">
      <w:pPr>
        <w:pStyle w:val="Subttulo"/>
        <w:rPr>
          <w:rFonts w:ascii="Arial" w:hAnsi="Arial"/>
          <w:b w:val="0"/>
        </w:rPr>
      </w:pPr>
      <w:r w:rsidRPr="00405919">
        <w:rPr>
          <w:rFonts w:ascii="Arial" w:hAnsi="Arial"/>
          <w:b w:val="0"/>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w:t>
      </w:r>
      <w:r>
        <w:rPr>
          <w:rFonts w:ascii="Arial" w:hAnsi="Arial"/>
          <w:b w:val="0"/>
        </w:rPr>
        <w:t>nifique y se realice la auditorí</w:t>
      </w:r>
      <w:r w:rsidRPr="00405919">
        <w:rPr>
          <w:rFonts w:ascii="Arial" w:hAnsi="Arial"/>
          <w:b w:val="0"/>
        </w:rPr>
        <w:t>a para obtener seguridad razonable acerca de si los estados contables están li</w:t>
      </w:r>
      <w:r>
        <w:rPr>
          <w:rFonts w:ascii="Arial" w:hAnsi="Arial"/>
          <w:b w:val="0"/>
        </w:rPr>
        <w:t>bres de errores significativos.</w:t>
      </w:r>
    </w:p>
    <w:p w:rsidR="00F51AB7" w:rsidRPr="00405919" w:rsidRDefault="00F51AB7" w:rsidP="00852D39">
      <w:pPr>
        <w:pStyle w:val="Subttulo"/>
        <w:rPr>
          <w:rFonts w:ascii="Arial" w:hAnsi="Arial"/>
          <w:b w:val="0"/>
        </w:rPr>
      </w:pPr>
    </w:p>
    <w:p w:rsidR="00852D39" w:rsidRPr="00405919" w:rsidRDefault="00852D39" w:rsidP="00852D39">
      <w:pPr>
        <w:pStyle w:val="Subttulo"/>
        <w:rPr>
          <w:rFonts w:ascii="Arial" w:hAnsi="Arial"/>
          <w:b w:val="0"/>
        </w:rPr>
      </w:pPr>
      <w:r>
        <w:rPr>
          <w:rFonts w:ascii="Arial" w:hAnsi="Arial"/>
          <w:b w:val="0"/>
        </w:rPr>
        <w:t>Una auditorí</w:t>
      </w:r>
      <w:r w:rsidRPr="00405919">
        <w:rPr>
          <w:rFonts w:ascii="Arial" w:hAnsi="Arial"/>
          <w:b w:val="0"/>
        </w:rPr>
        <w:t xml:space="preserve">a implica realizar procedimientos para obtener evidencia acerca de los montos </w:t>
      </w:r>
      <w:r>
        <w:rPr>
          <w:rFonts w:ascii="Arial" w:hAnsi="Arial"/>
          <w:b w:val="0"/>
        </w:rPr>
        <w:t xml:space="preserve">y revelaciones </w:t>
      </w:r>
      <w:r w:rsidRPr="00405919">
        <w:rPr>
          <w:rFonts w:ascii="Arial" w:hAnsi="Arial"/>
          <w:b w:val="0"/>
        </w:rPr>
        <w:t>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w:t>
      </w:r>
      <w:r>
        <w:rPr>
          <w:rFonts w:ascii="Arial" w:hAnsi="Arial"/>
          <w:b w:val="0"/>
        </w:rPr>
        <w:t>r los procedimientos de auditorí</w:t>
      </w:r>
      <w:r w:rsidRPr="00405919">
        <w:rPr>
          <w:rFonts w:ascii="Arial" w:hAnsi="Arial"/>
          <w:b w:val="0"/>
        </w:rPr>
        <w:t>a que sean apropiados en las circunstancias, pero no con el propósito de expresar una opinión acerca de la eficacia del control interno de la entidad.</w:t>
      </w:r>
      <w:r>
        <w:rPr>
          <w:rFonts w:ascii="Arial" w:hAnsi="Arial"/>
          <w:b w:val="0"/>
        </w:rPr>
        <w:t xml:space="preserve"> Una auditorí</w:t>
      </w:r>
      <w:r w:rsidRPr="00405919">
        <w:rPr>
          <w:rFonts w:ascii="Arial" w:hAnsi="Arial"/>
          <w:b w:val="0"/>
        </w:rPr>
        <w:t>a también implica evaluar lo apropiado de las políticas contables utilizadas y la presentación general de los estados financieros.</w:t>
      </w:r>
    </w:p>
    <w:p w:rsidR="00852D39" w:rsidRDefault="00852D39" w:rsidP="00852D39">
      <w:pPr>
        <w:pStyle w:val="Subttulo"/>
        <w:rPr>
          <w:rFonts w:ascii="Arial" w:hAnsi="Arial"/>
          <w:b w:val="0"/>
        </w:rPr>
      </w:pPr>
      <w:r w:rsidRPr="00405919">
        <w:rPr>
          <w:rFonts w:ascii="Arial" w:hAnsi="Arial"/>
          <w:b w:val="0"/>
        </w:rPr>
        <w:t>Se consid</w:t>
      </w:r>
      <w:r>
        <w:rPr>
          <w:rFonts w:ascii="Arial" w:hAnsi="Arial"/>
          <w:b w:val="0"/>
        </w:rPr>
        <w:t>era que la evidencia de auditorí</w:t>
      </w:r>
      <w:r w:rsidRPr="00405919">
        <w:rPr>
          <w:rFonts w:ascii="Arial" w:hAnsi="Arial"/>
          <w:b w:val="0"/>
        </w:rPr>
        <w:t>a obtenida brinda una base suficiente y apropiada para sustentar la opinión.</w:t>
      </w:r>
    </w:p>
    <w:p w:rsidR="00852D39" w:rsidRDefault="00852D39" w:rsidP="00852D39">
      <w:pPr>
        <w:pStyle w:val="Subttulo"/>
        <w:rPr>
          <w:rFonts w:ascii="Arial" w:hAnsi="Arial"/>
          <w:b w:val="0"/>
        </w:rPr>
      </w:pPr>
    </w:p>
    <w:p w:rsidR="00852D39" w:rsidRPr="00405919" w:rsidRDefault="00852D39" w:rsidP="00852D39">
      <w:pPr>
        <w:pStyle w:val="Textoindependiente"/>
        <w:spacing w:after="0" w:line="360" w:lineRule="auto"/>
        <w:rPr>
          <w:rFonts w:cs="Arial"/>
          <w:b/>
          <w:bCs/>
        </w:rPr>
      </w:pPr>
      <w:r w:rsidRPr="00405919">
        <w:rPr>
          <w:rFonts w:cs="Arial"/>
          <w:b/>
          <w:bCs/>
        </w:rPr>
        <w:t>Opinión</w:t>
      </w:r>
    </w:p>
    <w:p w:rsidR="00852D39" w:rsidRPr="00405919" w:rsidRDefault="00852D39" w:rsidP="00852D39">
      <w:pPr>
        <w:pStyle w:val="Textoindependiente"/>
        <w:spacing w:after="0" w:line="360" w:lineRule="auto"/>
      </w:pPr>
      <w:r w:rsidRPr="00405919">
        <w:t xml:space="preserve">En opinión del Tribunal de Cuentas, los estados mencionados presentan razonablemente, en todos sus aspectos importantes, la ejecución presupuestal en relación a los recursos y a los créditos presupuestales, el resultado del </w:t>
      </w:r>
      <w:r>
        <w:t>E</w:t>
      </w:r>
      <w:r w:rsidRPr="00405919">
        <w:t>jercicio 2013 y el resultado acumu</w:t>
      </w:r>
      <w:r w:rsidRPr="00405919">
        <w:softHyphen/>
        <w:t>lado al 31 de diciembre de 2013, de acuerdo a las normas establecidas en el TOCAF y a la Resolución de</w:t>
      </w:r>
      <w:r w:rsidR="00F51AB7">
        <w:t xml:space="preserve"> este Cuerpo de fecha 28/01/04.</w:t>
      </w:r>
    </w:p>
    <w:p w:rsidR="00852D39" w:rsidRDefault="00852D39" w:rsidP="00852D39">
      <w:pPr>
        <w:pStyle w:val="Textoindependiente"/>
        <w:spacing w:after="0" w:line="360" w:lineRule="auto"/>
        <w:rPr>
          <w:rFonts w:cs="Arial"/>
          <w:kern w:val="0"/>
          <w:szCs w:val="24"/>
          <w:lang w:val="es-ES"/>
        </w:rPr>
      </w:pPr>
      <w:r w:rsidRPr="00405919">
        <w:rPr>
          <w:rFonts w:cs="Arial"/>
          <w:kern w:val="0"/>
          <w:szCs w:val="24"/>
          <w:lang w:val="es-ES"/>
        </w:rPr>
        <w:t>Con relación al cumplimiento de la normativa vigente, en el curso de la auditoría se ha constatado que:</w:t>
      </w:r>
    </w:p>
    <w:p w:rsidR="00852D39" w:rsidRDefault="00852D39" w:rsidP="00852D39">
      <w:pPr>
        <w:pStyle w:val="Textoindependiente"/>
        <w:spacing w:after="0" w:line="360" w:lineRule="auto"/>
        <w:rPr>
          <w:rFonts w:cs="Arial"/>
          <w:kern w:val="0"/>
          <w:szCs w:val="24"/>
          <w:lang w:val="es-ES"/>
        </w:rPr>
      </w:pPr>
    </w:p>
    <w:p w:rsidR="00852D39" w:rsidRPr="00405919" w:rsidRDefault="00852D39" w:rsidP="00852D39">
      <w:pPr>
        <w:pStyle w:val="Lista"/>
        <w:tabs>
          <w:tab w:val="left" w:pos="0"/>
        </w:tabs>
        <w:ind w:left="0" w:firstLine="0"/>
        <w:rPr>
          <w:rFonts w:cs="Arial"/>
        </w:rPr>
      </w:pPr>
      <w:r w:rsidRPr="00405919">
        <w:rPr>
          <w:rFonts w:cs="Arial"/>
          <w:b/>
          <w:bCs/>
          <w:snapToGrid w:val="0"/>
        </w:rPr>
        <w:t xml:space="preserve">1. Artículo 86 de la Constitución de la República: </w:t>
      </w:r>
      <w:r w:rsidRPr="00405919">
        <w:rPr>
          <w:rFonts w:cs="Arial"/>
          <w:snapToGrid w:val="0"/>
        </w:rPr>
        <w:t>S</w:t>
      </w:r>
      <w:r w:rsidRPr="00405919">
        <w:rPr>
          <w:rFonts w:cs="Arial"/>
        </w:rPr>
        <w:t>e abonaron compensaciones salariales no previstas en una instancia presupuestal.</w:t>
      </w:r>
    </w:p>
    <w:p w:rsidR="00852D39" w:rsidRPr="00405919" w:rsidRDefault="00852D39" w:rsidP="00852D39">
      <w:pPr>
        <w:pStyle w:val="Lista"/>
        <w:tabs>
          <w:tab w:val="left" w:pos="0"/>
        </w:tabs>
        <w:ind w:left="0" w:firstLine="0"/>
        <w:rPr>
          <w:rFonts w:cs="Arial"/>
          <w:snapToGrid w:val="0"/>
        </w:rPr>
      </w:pPr>
    </w:p>
    <w:p w:rsidR="00852D39" w:rsidRPr="00405919" w:rsidRDefault="00852D39" w:rsidP="00852D39">
      <w:pPr>
        <w:pStyle w:val="Lista"/>
        <w:tabs>
          <w:tab w:val="left" w:pos="0"/>
        </w:tabs>
        <w:ind w:left="0" w:firstLine="0"/>
        <w:rPr>
          <w:rFonts w:cs="Arial"/>
        </w:rPr>
      </w:pPr>
      <w:r w:rsidRPr="00405919">
        <w:rPr>
          <w:rFonts w:cs="Arial"/>
          <w:b/>
          <w:bCs/>
          <w:snapToGrid w:val="0"/>
        </w:rPr>
        <w:t>2. Artículo 211 Literal B) de la Constitución de la República y Artículo 87 del TOCAF</w:t>
      </w:r>
      <w:r w:rsidRPr="00405919">
        <w:rPr>
          <w:rFonts w:cs="Arial"/>
          <w:b/>
          <w:lang w:val="es-ES"/>
        </w:rPr>
        <w:t>:</w:t>
      </w:r>
      <w:r w:rsidRPr="00405919">
        <w:rPr>
          <w:rFonts w:cs="Arial"/>
          <w:bCs/>
          <w:kern w:val="1"/>
        </w:rPr>
        <w:t xml:space="preserve"> </w:t>
      </w:r>
      <w:r w:rsidRPr="00405919">
        <w:rPr>
          <w:rFonts w:cs="Arial"/>
        </w:rPr>
        <w:t>La Intendencia efectuó gastos y pagos que no fueron sometidos a la intervención</w:t>
      </w:r>
      <w:r>
        <w:rPr>
          <w:rFonts w:cs="Arial"/>
        </w:rPr>
        <w:t xml:space="preserve"> preventiva</w:t>
      </w:r>
      <w:r w:rsidRPr="00405919">
        <w:rPr>
          <w:rFonts w:cs="Arial"/>
        </w:rPr>
        <w:t xml:space="preserve"> del Tribunal de Cuentas y, en casos de observación, no siempre consta la reiteración por parte del ordenador</w:t>
      </w:r>
      <w:r w:rsidR="00F51AB7">
        <w:rPr>
          <w:rFonts w:cs="Arial"/>
        </w:rPr>
        <w:t>.</w:t>
      </w:r>
    </w:p>
    <w:p w:rsidR="00852D39" w:rsidRPr="00405919" w:rsidRDefault="00852D39" w:rsidP="00852D39">
      <w:pPr>
        <w:pStyle w:val="Lista"/>
        <w:tabs>
          <w:tab w:val="left" w:pos="0"/>
        </w:tabs>
        <w:ind w:left="0" w:firstLine="0"/>
        <w:rPr>
          <w:rFonts w:cs="Arial"/>
        </w:rPr>
      </w:pPr>
    </w:p>
    <w:p w:rsidR="00852D39" w:rsidRPr="00405919" w:rsidRDefault="00852D39" w:rsidP="00852D39">
      <w:pPr>
        <w:pStyle w:val="Lista"/>
        <w:tabs>
          <w:tab w:val="left" w:pos="0"/>
        </w:tabs>
        <w:ind w:left="0" w:firstLine="0"/>
        <w:rPr>
          <w:rFonts w:cs="Arial"/>
          <w:snapToGrid w:val="0"/>
        </w:rPr>
      </w:pPr>
      <w:r w:rsidRPr="00405919">
        <w:rPr>
          <w:rFonts w:cs="Arial"/>
          <w:b/>
          <w:bCs/>
          <w:snapToGrid w:val="0"/>
        </w:rPr>
        <w:t>3. Artículo 297 de la Constitución de la República, Artículo 94 del Código Tributario y Artículo 470 de la Ley N° 17.930</w:t>
      </w:r>
      <w:r w:rsidRPr="00405919">
        <w:rPr>
          <w:rFonts w:cs="Arial"/>
          <w:b/>
          <w:snapToGrid w:val="0"/>
        </w:rPr>
        <w:t>:</w:t>
      </w:r>
      <w:r w:rsidRPr="00405919">
        <w:rPr>
          <w:rFonts w:cs="Arial"/>
          <w:snapToGrid w:val="0"/>
        </w:rPr>
        <w:t xml:space="preserve"> Las alícuotas aplicadas</w:t>
      </w:r>
      <w:r>
        <w:rPr>
          <w:rFonts w:cs="Arial"/>
          <w:snapToGrid w:val="0"/>
        </w:rPr>
        <w:t xml:space="preserve"> durante el Ejercicio 2013</w:t>
      </w:r>
      <w:r w:rsidRPr="00405919">
        <w:rPr>
          <w:rFonts w:cs="Arial"/>
          <w:snapToGrid w:val="0"/>
        </w:rPr>
        <w:t xml:space="preserve"> por la Intendencia</w:t>
      </w:r>
      <w:r>
        <w:rPr>
          <w:rFonts w:cs="Arial"/>
          <w:snapToGrid w:val="0"/>
        </w:rPr>
        <w:t>,</w:t>
      </w:r>
      <w:r w:rsidRPr="00405919">
        <w:rPr>
          <w:rFonts w:cs="Arial"/>
          <w:snapToGrid w:val="0"/>
        </w:rPr>
        <w:t xml:space="preserve"> para determinar las multas por atrasos en pagos de contribución inmobiliaria rural, no cumplen con lo establecido en las citadas normas.</w:t>
      </w:r>
    </w:p>
    <w:p w:rsidR="00852D39" w:rsidRPr="00405919" w:rsidRDefault="00852D39" w:rsidP="00852D39">
      <w:pPr>
        <w:pStyle w:val="Lista"/>
        <w:tabs>
          <w:tab w:val="left" w:pos="0"/>
        </w:tabs>
        <w:ind w:left="0" w:firstLine="0"/>
        <w:rPr>
          <w:rFonts w:cs="Arial"/>
          <w:snapToGrid w:val="0"/>
        </w:rPr>
      </w:pPr>
    </w:p>
    <w:p w:rsidR="00852D39" w:rsidRPr="00405919" w:rsidRDefault="00852D39" w:rsidP="00852D39">
      <w:pPr>
        <w:pStyle w:val="Lista"/>
        <w:tabs>
          <w:tab w:val="left" w:pos="0"/>
        </w:tabs>
        <w:ind w:left="0" w:firstLine="0"/>
        <w:rPr>
          <w:rFonts w:cs="Arial"/>
        </w:rPr>
      </w:pPr>
      <w:r>
        <w:rPr>
          <w:rFonts w:cs="Arial"/>
          <w:b/>
          <w:bCs/>
        </w:rPr>
        <w:t>4</w:t>
      </w:r>
      <w:r w:rsidRPr="00405919">
        <w:rPr>
          <w:rFonts w:cs="Arial"/>
          <w:b/>
          <w:bCs/>
        </w:rPr>
        <w:t xml:space="preserve">. Artículos 14 y 23 del TOCAF: </w:t>
      </w:r>
      <w:r w:rsidRPr="00405919">
        <w:rPr>
          <w:rFonts w:cs="Arial"/>
        </w:rPr>
        <w:t>Se realizaron gastos y pagos que no fueron ordenados previamen</w:t>
      </w:r>
      <w:r w:rsidR="00F51AB7">
        <w:rPr>
          <w:rFonts w:cs="Arial"/>
        </w:rPr>
        <w:t>te por el Ordenador competente.</w:t>
      </w:r>
    </w:p>
    <w:p w:rsidR="00852D39" w:rsidRPr="00405919" w:rsidRDefault="00852D39" w:rsidP="00852D39">
      <w:pPr>
        <w:pStyle w:val="Lista"/>
        <w:tabs>
          <w:tab w:val="left" w:pos="0"/>
        </w:tabs>
        <w:ind w:left="0" w:firstLine="0"/>
        <w:rPr>
          <w:rFonts w:cs="Arial"/>
          <w:snapToGrid w:val="0"/>
        </w:rPr>
      </w:pPr>
    </w:p>
    <w:p w:rsidR="00852D39" w:rsidRPr="00405919" w:rsidRDefault="00852D39" w:rsidP="00852D39">
      <w:pPr>
        <w:pStyle w:val="Lista"/>
        <w:tabs>
          <w:tab w:val="left" w:pos="0"/>
        </w:tabs>
        <w:ind w:left="0" w:firstLine="0"/>
        <w:rPr>
          <w:rFonts w:cs="Arial"/>
          <w:snapToGrid w:val="0"/>
        </w:rPr>
      </w:pPr>
      <w:r>
        <w:rPr>
          <w:rFonts w:cs="Arial"/>
          <w:b/>
          <w:bCs/>
        </w:rPr>
        <w:t>5</w:t>
      </w:r>
      <w:r w:rsidRPr="00405919">
        <w:rPr>
          <w:rFonts w:cs="Arial"/>
          <w:b/>
          <w:bCs/>
        </w:rPr>
        <w:t>. Artículo 15 del TOCAF:</w:t>
      </w:r>
      <w:r w:rsidRPr="00405919">
        <w:rPr>
          <w:rFonts w:cs="Arial"/>
          <w:snapToGrid w:val="0"/>
        </w:rPr>
        <w:t xml:space="preserve"> Durante el </w:t>
      </w:r>
      <w:r>
        <w:rPr>
          <w:rFonts w:cs="Arial"/>
          <w:snapToGrid w:val="0"/>
        </w:rPr>
        <w:t>E</w:t>
      </w:r>
      <w:r w:rsidRPr="00405919">
        <w:rPr>
          <w:rFonts w:cs="Arial"/>
          <w:snapToGrid w:val="0"/>
        </w:rPr>
        <w:t>jercicio 2013 se realizaron gastos sin contar con disponibilidad suficiente, los que fueron observados por el Contador Delegado.</w:t>
      </w:r>
    </w:p>
    <w:p w:rsidR="00852D39" w:rsidRPr="00405919" w:rsidRDefault="00852D39" w:rsidP="00852D39">
      <w:pPr>
        <w:pStyle w:val="Lista"/>
        <w:tabs>
          <w:tab w:val="left" w:pos="0"/>
        </w:tabs>
        <w:ind w:left="0" w:firstLine="0"/>
        <w:rPr>
          <w:rFonts w:cs="Arial"/>
          <w:snapToGrid w:val="0"/>
        </w:rPr>
      </w:pPr>
    </w:p>
    <w:p w:rsidR="00852D39" w:rsidRDefault="00852D39" w:rsidP="00852D39">
      <w:pPr>
        <w:pStyle w:val="Lista"/>
        <w:tabs>
          <w:tab w:val="left" w:pos="0"/>
        </w:tabs>
        <w:ind w:left="0" w:firstLine="0"/>
        <w:rPr>
          <w:rFonts w:cs="Arial"/>
          <w:snapToGrid w:val="0"/>
        </w:rPr>
      </w:pPr>
      <w:r>
        <w:rPr>
          <w:rFonts w:cs="Arial"/>
          <w:b/>
        </w:rPr>
        <w:t>6</w:t>
      </w:r>
      <w:r w:rsidRPr="00405919">
        <w:rPr>
          <w:rFonts w:cs="Arial"/>
          <w:b/>
        </w:rPr>
        <w:t>. Artículo 16 del TOCAF:</w:t>
      </w:r>
      <w:r w:rsidRPr="00405919">
        <w:rPr>
          <w:rFonts w:cs="Arial"/>
          <w:b/>
          <w:bCs/>
          <w:snapToGrid w:val="0"/>
        </w:rPr>
        <w:t xml:space="preserve"> </w:t>
      </w:r>
      <w:r w:rsidRPr="00405919">
        <w:rPr>
          <w:rFonts w:cs="Arial"/>
          <w:snapToGrid w:val="0"/>
        </w:rPr>
        <w:t>Se realizaron imputaciones de gastos a objetos distintos a los que hubiera correspondido.</w:t>
      </w:r>
    </w:p>
    <w:p w:rsidR="00852D39" w:rsidRDefault="00852D39" w:rsidP="00852D39">
      <w:pPr>
        <w:pStyle w:val="Lista"/>
        <w:tabs>
          <w:tab w:val="left" w:pos="0"/>
        </w:tabs>
        <w:ind w:left="0" w:firstLine="0"/>
        <w:rPr>
          <w:rFonts w:cs="Arial"/>
          <w:b/>
          <w:bCs/>
        </w:rPr>
      </w:pPr>
    </w:p>
    <w:p w:rsidR="00852D39" w:rsidRPr="00405919" w:rsidRDefault="00852D39" w:rsidP="00852D39">
      <w:pPr>
        <w:pStyle w:val="Lista"/>
        <w:tabs>
          <w:tab w:val="left" w:pos="0"/>
        </w:tabs>
        <w:ind w:left="0" w:firstLine="0"/>
        <w:rPr>
          <w:rFonts w:cs="Arial"/>
        </w:rPr>
      </w:pPr>
      <w:r>
        <w:rPr>
          <w:rFonts w:cs="Arial"/>
          <w:b/>
          <w:bCs/>
        </w:rPr>
        <w:t>7</w:t>
      </w:r>
      <w:r w:rsidRPr="00405919">
        <w:rPr>
          <w:rFonts w:cs="Arial"/>
          <w:b/>
          <w:bCs/>
        </w:rPr>
        <w:t xml:space="preserve">. Artículo 20 del TOCAF: </w:t>
      </w:r>
      <w:r w:rsidRPr="00405919">
        <w:rPr>
          <w:rFonts w:cs="Arial"/>
        </w:rPr>
        <w:t>La Intendencia no aplicó el criterio de lo devengado en la</w:t>
      </w:r>
      <w:r w:rsidR="00F51AB7">
        <w:rPr>
          <w:rFonts w:cs="Arial"/>
        </w:rPr>
        <w:t xml:space="preserve"> imputación de algunos gastos.</w:t>
      </w:r>
    </w:p>
    <w:p w:rsidR="00852D39" w:rsidRPr="00405919" w:rsidRDefault="00852D39" w:rsidP="00852D39">
      <w:pPr>
        <w:pStyle w:val="Lista"/>
        <w:tabs>
          <w:tab w:val="left" w:pos="0"/>
        </w:tabs>
        <w:ind w:left="0" w:firstLine="0"/>
        <w:rPr>
          <w:rFonts w:cs="Arial"/>
        </w:rPr>
      </w:pPr>
    </w:p>
    <w:p w:rsidR="00852D39" w:rsidRDefault="00852D39" w:rsidP="00852D39">
      <w:pPr>
        <w:pStyle w:val="Lista"/>
        <w:tabs>
          <w:tab w:val="left" w:pos="360"/>
        </w:tabs>
        <w:ind w:left="0" w:firstLine="0"/>
        <w:rPr>
          <w:rFonts w:cs="Arial"/>
          <w:snapToGrid w:val="0"/>
        </w:rPr>
      </w:pPr>
      <w:r>
        <w:rPr>
          <w:rFonts w:cs="Arial"/>
          <w:b/>
        </w:rPr>
        <w:t>8</w:t>
      </w:r>
      <w:r w:rsidRPr="00405919">
        <w:rPr>
          <w:rFonts w:cs="Arial"/>
          <w:b/>
        </w:rPr>
        <w:t>. Artículos 33 y 43 del TOCAF:</w:t>
      </w:r>
      <w:r w:rsidRPr="00405919">
        <w:rPr>
          <w:rFonts w:cs="Arial"/>
          <w:snapToGrid w:val="0"/>
        </w:rPr>
        <w:t xml:space="preserve"> Se efectuaron </w:t>
      </w:r>
      <w:r>
        <w:rPr>
          <w:rFonts w:cs="Arial"/>
          <w:snapToGrid w:val="0"/>
        </w:rPr>
        <w:t xml:space="preserve">contrataciones sin utilizar el procedimiento de selección que hubiera correspondido de acuerdo a su monto, conforme a lo dispuesto por el Artículo 33 del TOCAF, lo que fue observado por el Contador Delegado. Asimismo, se constataron casos de </w:t>
      </w:r>
      <w:r w:rsidRPr="00405919">
        <w:rPr>
          <w:rFonts w:cs="Arial"/>
          <w:snapToGrid w:val="0"/>
        </w:rPr>
        <w:t xml:space="preserve">adquisiciones </w:t>
      </w:r>
      <w:r>
        <w:rPr>
          <w:rFonts w:cs="Arial"/>
          <w:snapToGrid w:val="0"/>
        </w:rPr>
        <w:t>en forma fraccionada, sin dejar constancia de los fundamentos, incumpliendo el Artículo 43 del TOCAF</w:t>
      </w:r>
      <w:r w:rsidRPr="00405919">
        <w:rPr>
          <w:rFonts w:cs="Arial"/>
          <w:snapToGrid w:val="0"/>
        </w:rPr>
        <w:t>.</w:t>
      </w:r>
    </w:p>
    <w:p w:rsidR="00852D39" w:rsidRDefault="00852D39" w:rsidP="00852D39">
      <w:pPr>
        <w:pStyle w:val="Lista"/>
        <w:tabs>
          <w:tab w:val="left" w:pos="360"/>
        </w:tabs>
        <w:ind w:left="0" w:firstLine="0"/>
        <w:rPr>
          <w:rFonts w:cs="Arial"/>
          <w:snapToGrid w:val="0"/>
        </w:rPr>
      </w:pPr>
    </w:p>
    <w:p w:rsidR="00852D39" w:rsidRPr="00405919" w:rsidRDefault="00852D39" w:rsidP="00852D39">
      <w:pPr>
        <w:tabs>
          <w:tab w:val="left" w:pos="0"/>
        </w:tabs>
        <w:spacing w:line="360" w:lineRule="auto"/>
        <w:jc w:val="both"/>
        <w:rPr>
          <w:rFonts w:cs="Arial"/>
        </w:rPr>
      </w:pPr>
      <w:r>
        <w:rPr>
          <w:rFonts w:cs="Arial"/>
          <w:b/>
        </w:rPr>
        <w:t>9</w:t>
      </w:r>
      <w:r w:rsidRPr="00405919">
        <w:rPr>
          <w:rFonts w:cs="Arial"/>
          <w:b/>
        </w:rPr>
        <w:t>. Artículo 40 del TOCAF</w:t>
      </w:r>
      <w:r w:rsidRPr="004703D7">
        <w:rPr>
          <w:rFonts w:cs="Arial"/>
          <w:b/>
        </w:rPr>
        <w:t>:</w:t>
      </w:r>
      <w:r w:rsidRPr="00405919">
        <w:rPr>
          <w:rFonts w:cs="Arial"/>
        </w:rPr>
        <w:t xml:space="preserve"> En los casos de arrendamiento de inmuebles no se solicita informe previo de </w:t>
      </w:r>
      <w:r w:rsidR="00F51AB7">
        <w:rPr>
          <w:rFonts w:cs="Arial"/>
        </w:rPr>
        <w:t>una oficina técnica competente.</w:t>
      </w:r>
    </w:p>
    <w:p w:rsidR="00852D39" w:rsidRPr="00F51AB7" w:rsidRDefault="00852D39" w:rsidP="00852D39">
      <w:pPr>
        <w:tabs>
          <w:tab w:val="left" w:pos="0"/>
        </w:tabs>
        <w:spacing w:line="360" w:lineRule="auto"/>
        <w:jc w:val="both"/>
        <w:rPr>
          <w:rFonts w:cs="Arial"/>
          <w:snapToGrid w:val="0"/>
          <w:kern w:val="18"/>
          <w:szCs w:val="20"/>
        </w:rPr>
      </w:pPr>
    </w:p>
    <w:p w:rsidR="00852D39" w:rsidRPr="00405919" w:rsidRDefault="00852D39" w:rsidP="00852D39">
      <w:pPr>
        <w:tabs>
          <w:tab w:val="left" w:pos="0"/>
        </w:tabs>
        <w:spacing w:line="360" w:lineRule="auto"/>
        <w:jc w:val="both"/>
        <w:rPr>
          <w:rFonts w:cs="Arial"/>
        </w:rPr>
      </w:pPr>
      <w:r w:rsidRPr="00405919">
        <w:rPr>
          <w:rFonts w:cs="Arial"/>
          <w:b/>
        </w:rPr>
        <w:t>1</w:t>
      </w:r>
      <w:r>
        <w:rPr>
          <w:rFonts w:cs="Arial"/>
          <w:b/>
        </w:rPr>
        <w:t>0</w:t>
      </w:r>
      <w:r w:rsidRPr="00405919">
        <w:rPr>
          <w:rFonts w:cs="Arial"/>
          <w:b/>
        </w:rPr>
        <w:t xml:space="preserve">. Artículos 90 y 154 del TOCAF: </w:t>
      </w:r>
      <w:r w:rsidRPr="00405919">
        <w:rPr>
          <w:rFonts w:cs="Arial"/>
        </w:rPr>
        <w:t>No todos los funcionarios que manejan</w:t>
      </w:r>
      <w:r>
        <w:rPr>
          <w:rFonts w:cs="Arial"/>
        </w:rPr>
        <w:t xml:space="preserve"> o custodian</w:t>
      </w:r>
      <w:r w:rsidRPr="00405919">
        <w:rPr>
          <w:rFonts w:cs="Arial"/>
        </w:rPr>
        <w:t xml:space="preserve"> fondos y valores están cubiertos con seguros </w:t>
      </w:r>
      <w:r w:rsidR="00F51AB7">
        <w:rPr>
          <w:rFonts w:cs="Arial"/>
        </w:rPr>
        <w:t>de caución de fidelidad.</w:t>
      </w:r>
    </w:p>
    <w:p w:rsidR="00852D39" w:rsidRPr="00F51AB7" w:rsidRDefault="00852D39" w:rsidP="00852D39">
      <w:pPr>
        <w:tabs>
          <w:tab w:val="left" w:pos="0"/>
        </w:tabs>
        <w:spacing w:line="360" w:lineRule="auto"/>
        <w:jc w:val="both"/>
        <w:rPr>
          <w:rFonts w:cs="Arial"/>
          <w:snapToGrid w:val="0"/>
          <w:kern w:val="18"/>
          <w:szCs w:val="20"/>
        </w:rPr>
      </w:pPr>
    </w:p>
    <w:p w:rsidR="00852D39" w:rsidRDefault="00852D39" w:rsidP="00852D39">
      <w:pPr>
        <w:tabs>
          <w:tab w:val="left" w:pos="0"/>
        </w:tabs>
        <w:spacing w:line="360" w:lineRule="auto"/>
        <w:jc w:val="both"/>
        <w:rPr>
          <w:rFonts w:cs="Arial"/>
        </w:rPr>
      </w:pPr>
      <w:r>
        <w:rPr>
          <w:rFonts w:cs="Arial"/>
          <w:b/>
          <w:bCs/>
        </w:rPr>
        <w:t>11. Artículo 94 del TOCAF</w:t>
      </w:r>
      <w:r>
        <w:rPr>
          <w:rFonts w:cs="Arial"/>
          <w:b/>
          <w:bCs/>
          <w:snapToGrid w:val="0"/>
        </w:rPr>
        <w:t xml:space="preserve"> y Ordenanza N° 81:</w:t>
      </w:r>
      <w:r>
        <w:rPr>
          <w:rFonts w:cs="Arial"/>
          <w:snapToGrid w:val="0"/>
        </w:rPr>
        <w:t xml:space="preserve"> </w:t>
      </w:r>
      <w:r>
        <w:rPr>
          <w:rFonts w:cs="Arial"/>
        </w:rPr>
        <w:t>No se ha implementado en la Intendencia un sistema de contabilidad patrimonial a efectos de la presentación de los estados contables respectivos.</w:t>
      </w:r>
    </w:p>
    <w:p w:rsidR="00852D39" w:rsidRDefault="00852D39" w:rsidP="00852D39">
      <w:pPr>
        <w:tabs>
          <w:tab w:val="left" w:pos="0"/>
        </w:tabs>
        <w:spacing w:line="360" w:lineRule="auto"/>
        <w:jc w:val="both"/>
        <w:rPr>
          <w:rFonts w:cs="Arial"/>
        </w:rPr>
      </w:pPr>
    </w:p>
    <w:p w:rsidR="00852D39" w:rsidRDefault="00852D39" w:rsidP="00852D39">
      <w:pPr>
        <w:tabs>
          <w:tab w:val="left" w:pos="0"/>
        </w:tabs>
        <w:spacing w:line="360" w:lineRule="auto"/>
        <w:jc w:val="both"/>
        <w:rPr>
          <w:rFonts w:cs="Arial"/>
        </w:rPr>
      </w:pPr>
      <w:r>
        <w:rPr>
          <w:rFonts w:cs="Arial"/>
          <w:b/>
        </w:rPr>
        <w:t>12. Artículo 97 del TOCAF:</w:t>
      </w:r>
      <w:r>
        <w:rPr>
          <w:rFonts w:cs="Arial"/>
          <w:bCs/>
        </w:rPr>
        <w:t xml:space="preserve"> </w:t>
      </w:r>
      <w:r>
        <w:rPr>
          <w:rFonts w:cs="Arial"/>
        </w:rPr>
        <w:t>La Intendencia no cuenta con un inventario actualizado de la totalidad de sus bienes.</w:t>
      </w:r>
    </w:p>
    <w:p w:rsidR="00852D39" w:rsidRDefault="00852D39" w:rsidP="00852D39">
      <w:pPr>
        <w:tabs>
          <w:tab w:val="left" w:pos="0"/>
        </w:tabs>
        <w:spacing w:line="360" w:lineRule="auto"/>
        <w:jc w:val="both"/>
        <w:rPr>
          <w:rFonts w:cs="Arial"/>
        </w:rPr>
      </w:pPr>
    </w:p>
    <w:p w:rsidR="00852D39" w:rsidRDefault="00852D39" w:rsidP="00852D39">
      <w:pPr>
        <w:tabs>
          <w:tab w:val="left" w:pos="0"/>
        </w:tabs>
        <w:spacing w:line="360" w:lineRule="auto"/>
        <w:jc w:val="both"/>
        <w:rPr>
          <w:rFonts w:cs="Arial"/>
        </w:rPr>
      </w:pPr>
      <w:r>
        <w:rPr>
          <w:rFonts w:cs="Arial"/>
          <w:b/>
          <w:bCs/>
        </w:rPr>
        <w:t xml:space="preserve">13. Artículo 102 Numeral 3) del TOCAF: </w:t>
      </w:r>
      <w:r>
        <w:rPr>
          <w:rFonts w:cs="Arial"/>
        </w:rPr>
        <w:t>Al comprometerse los gastos no se efectuó, en algunos casos, la afectación previa d</w:t>
      </w:r>
      <w:r w:rsidR="00F51AB7">
        <w:rPr>
          <w:rFonts w:cs="Arial"/>
        </w:rPr>
        <w:t>e los objetos correspondientes.</w:t>
      </w:r>
    </w:p>
    <w:p w:rsidR="00852D39" w:rsidRDefault="00852D39" w:rsidP="00852D39">
      <w:pPr>
        <w:tabs>
          <w:tab w:val="left" w:pos="0"/>
        </w:tabs>
        <w:spacing w:line="360" w:lineRule="auto"/>
        <w:jc w:val="both"/>
        <w:rPr>
          <w:rFonts w:cs="Arial"/>
          <w:snapToGrid w:val="0"/>
        </w:rPr>
      </w:pPr>
    </w:p>
    <w:p w:rsidR="00852D39" w:rsidRDefault="00852D39" w:rsidP="00852D39">
      <w:pPr>
        <w:spacing w:line="360" w:lineRule="auto"/>
        <w:jc w:val="both"/>
        <w:rPr>
          <w:rFonts w:cs="Arial"/>
        </w:rPr>
      </w:pPr>
      <w:r>
        <w:rPr>
          <w:rFonts w:cs="Arial"/>
          <w:b/>
          <w:bCs/>
        </w:rPr>
        <w:t>14. Artículos 102 Numeral 1) y 119 del TOCAF:</w:t>
      </w:r>
      <w:r>
        <w:rPr>
          <w:rFonts w:cs="Arial"/>
        </w:rPr>
        <w:t xml:space="preserve"> No se efectuaron arqueos en forma periódica en todas las dependencias que manejan fondos y valores, ni se realizaron conciliaciones de todas las cuentas bancarias. Algunas partidas conciliatorias correspondientes a gastos bancarios quedan pendientes de contabilización.</w:t>
      </w:r>
    </w:p>
    <w:p w:rsidR="00852D39" w:rsidRDefault="00852D39" w:rsidP="00852D39">
      <w:pPr>
        <w:spacing w:line="360" w:lineRule="auto"/>
        <w:jc w:val="both"/>
        <w:rPr>
          <w:rFonts w:cs="Arial"/>
        </w:rPr>
      </w:pPr>
    </w:p>
    <w:p w:rsidR="00852D39" w:rsidRDefault="00852D39" w:rsidP="00852D39">
      <w:pPr>
        <w:spacing w:line="360" w:lineRule="auto"/>
        <w:jc w:val="both"/>
        <w:rPr>
          <w:rFonts w:cs="Arial"/>
        </w:rPr>
      </w:pPr>
      <w:r>
        <w:rPr>
          <w:rFonts w:cs="Arial"/>
          <w:b/>
          <w:bCs/>
          <w:snapToGrid w:val="0"/>
        </w:rPr>
        <w:t xml:space="preserve">15. Artículo 128 del TOCAF: </w:t>
      </w:r>
      <w:r>
        <w:rPr>
          <w:rFonts w:cs="Arial"/>
          <w:bCs/>
          <w:snapToGrid w:val="0"/>
        </w:rPr>
        <w:t>S</w:t>
      </w:r>
      <w:r>
        <w:rPr>
          <w:rFonts w:cs="Arial"/>
          <w:snapToGrid w:val="0"/>
        </w:rPr>
        <w:t>e presenta e</w:t>
      </w:r>
      <w:r>
        <w:rPr>
          <w:rFonts w:cs="Arial"/>
        </w:rPr>
        <w:t>l estado demostrativo del grado de cumplimiento de los objetivos y metas programadas, pero no se hace en forma comparativa con lo previsto presupuestalmente, tanto en unidades físicas como monetarias.</w:t>
      </w:r>
    </w:p>
    <w:p w:rsidR="00852D39" w:rsidRDefault="00852D39" w:rsidP="00852D39">
      <w:pPr>
        <w:spacing w:line="360" w:lineRule="auto"/>
        <w:jc w:val="both"/>
        <w:rPr>
          <w:rFonts w:cs="Arial"/>
        </w:rPr>
      </w:pPr>
    </w:p>
    <w:p w:rsidR="00852D39" w:rsidRDefault="00852D39" w:rsidP="00852D39">
      <w:pPr>
        <w:pStyle w:val="Lista"/>
        <w:tabs>
          <w:tab w:val="left" w:pos="0"/>
        </w:tabs>
        <w:ind w:left="0" w:firstLine="0"/>
        <w:rPr>
          <w:rFonts w:cs="Arial"/>
          <w:snapToGrid w:val="0"/>
        </w:rPr>
      </w:pPr>
      <w:r>
        <w:rPr>
          <w:rFonts w:cs="Arial"/>
          <w:b/>
          <w:snapToGrid w:val="0"/>
        </w:rPr>
        <w:t>16. Ley Nº 13.142, Decreto-Ley Nº 14.632 y Decreto 342/92:</w:t>
      </w:r>
      <w:r>
        <w:rPr>
          <w:rFonts w:cs="Arial"/>
          <w:snapToGrid w:val="0"/>
        </w:rPr>
        <w:t xml:space="preserve"> Si bien la Intendencia ha instrumentado la solicitud de certificados de BPS y DGI a sus proveedores, se han realizado pagos con certificados vencidos al momento de efectuar</w:t>
      </w:r>
      <w:r w:rsidR="00F51AB7">
        <w:rPr>
          <w:rFonts w:cs="Arial"/>
          <w:snapToGrid w:val="0"/>
        </w:rPr>
        <w:t>se los mismos.</w:t>
      </w:r>
    </w:p>
    <w:p w:rsidR="00852D39" w:rsidRDefault="00852D39" w:rsidP="00852D39">
      <w:pPr>
        <w:pStyle w:val="Lista"/>
        <w:tabs>
          <w:tab w:val="left" w:pos="0"/>
        </w:tabs>
        <w:ind w:left="0" w:firstLine="0"/>
        <w:rPr>
          <w:rFonts w:cs="Arial"/>
          <w:snapToGrid w:val="0"/>
        </w:rPr>
      </w:pPr>
    </w:p>
    <w:p w:rsidR="00852D39" w:rsidRDefault="00852D39" w:rsidP="00852D39">
      <w:pPr>
        <w:tabs>
          <w:tab w:val="left" w:pos="360"/>
        </w:tabs>
        <w:spacing w:line="360" w:lineRule="auto"/>
        <w:jc w:val="both"/>
        <w:rPr>
          <w:kern w:val="18"/>
          <w:szCs w:val="20"/>
        </w:rPr>
      </w:pPr>
      <w:r>
        <w:rPr>
          <w:rFonts w:cs="Arial"/>
          <w:b/>
          <w:bCs/>
          <w:snapToGrid w:val="0"/>
        </w:rPr>
        <w:t>17. Artículo 124 de la Ley 17.738:</w:t>
      </w:r>
      <w:r>
        <w:rPr>
          <w:rFonts w:cs="Arial"/>
          <w:snapToGrid w:val="0"/>
        </w:rPr>
        <w:t xml:space="preserve"> </w:t>
      </w:r>
      <w:r>
        <w:rPr>
          <w:kern w:val="18"/>
          <w:szCs w:val="20"/>
        </w:rPr>
        <w:t>La Intendencia deberá dar cumplimiento a lo dispuesto por esta norma, la cual establece que no se podrá abonar ningún haber a los profesionales que no presenten el certificado que acredite que se encuentran al día con sus obligaciones con la CJPPU.</w:t>
      </w:r>
    </w:p>
    <w:p w:rsidR="00852D39" w:rsidRDefault="00852D39" w:rsidP="00852D39">
      <w:pPr>
        <w:tabs>
          <w:tab w:val="left" w:pos="360"/>
        </w:tabs>
        <w:spacing w:line="360" w:lineRule="auto"/>
        <w:jc w:val="both"/>
        <w:rPr>
          <w:rFonts w:cs="Arial"/>
          <w:snapToGrid w:val="0"/>
        </w:rPr>
      </w:pPr>
    </w:p>
    <w:p w:rsidR="00852D39" w:rsidRDefault="00852D39" w:rsidP="00852D39">
      <w:pPr>
        <w:tabs>
          <w:tab w:val="left" w:pos="0"/>
        </w:tabs>
        <w:spacing w:line="360" w:lineRule="auto"/>
        <w:jc w:val="both"/>
        <w:rPr>
          <w:rFonts w:cs="Arial"/>
          <w:snapToGrid w:val="0"/>
        </w:rPr>
      </w:pPr>
      <w:r>
        <w:rPr>
          <w:rFonts w:cs="Arial"/>
          <w:b/>
          <w:snapToGrid w:val="0"/>
        </w:rPr>
        <w:t>18. Convenio N° 30 de la OIT:</w:t>
      </w:r>
      <w:r>
        <w:rPr>
          <w:rFonts w:cs="Arial"/>
          <w:snapToGrid w:val="0"/>
        </w:rPr>
        <w:t xml:space="preserve"> Las horas extras realizadas durante el         Ejercicio 2013, en algunos casos, han superado los límites establecidos por este Convenio.</w:t>
      </w:r>
    </w:p>
    <w:p w:rsidR="00852D39" w:rsidRDefault="00852D39" w:rsidP="00852D39">
      <w:pPr>
        <w:tabs>
          <w:tab w:val="left" w:pos="0"/>
        </w:tabs>
        <w:spacing w:line="360" w:lineRule="auto"/>
        <w:jc w:val="both"/>
        <w:rPr>
          <w:rFonts w:cs="Arial"/>
          <w:snapToGrid w:val="0"/>
        </w:rPr>
      </w:pPr>
    </w:p>
    <w:p w:rsidR="00852D39" w:rsidRDefault="00852D39" w:rsidP="00852D39">
      <w:pPr>
        <w:pStyle w:val="Lista"/>
        <w:tabs>
          <w:tab w:val="left" w:pos="0"/>
        </w:tabs>
        <w:ind w:left="0" w:firstLine="0"/>
        <w:rPr>
          <w:rFonts w:cs="Arial"/>
          <w:snapToGrid w:val="0"/>
        </w:rPr>
      </w:pPr>
      <w:r>
        <w:rPr>
          <w:rFonts w:cs="Arial"/>
          <w:b/>
          <w:lang w:val="es-ES"/>
        </w:rPr>
        <w:t>19. Artículo 16 del Libro Segundo del Presupuesto Quinquenal 2011-2015 (Decreto Nº 51/011)</w:t>
      </w:r>
      <w:r>
        <w:rPr>
          <w:rFonts w:cs="Arial"/>
          <w:lang w:val="es-ES"/>
        </w:rPr>
        <w:t xml:space="preserve">: </w:t>
      </w:r>
      <w:r w:rsidRPr="0032323E">
        <w:rPr>
          <w:rFonts w:cs="Arial"/>
          <w:snapToGrid w:val="0"/>
        </w:rPr>
        <w:t>Se abonaron durante el ejercicio compensaciones especiales por insalubridad a funcionarios cuyas tareas no encuadran en la definición dada por esta norma.</w:t>
      </w:r>
    </w:p>
    <w:p w:rsidR="00852D39" w:rsidRDefault="00852D39" w:rsidP="00852D39">
      <w:pPr>
        <w:pStyle w:val="Lista"/>
        <w:tabs>
          <w:tab w:val="left" w:pos="360"/>
        </w:tabs>
        <w:ind w:left="0" w:firstLine="0"/>
        <w:rPr>
          <w:rFonts w:cs="Arial"/>
          <w:lang w:val="es-ES"/>
        </w:rPr>
      </w:pPr>
      <w:r>
        <w:rPr>
          <w:rFonts w:cs="Arial"/>
          <w:lang w:val="es-ES"/>
        </w:rPr>
        <w:t>Asimismo se abonaron horas extras a funcionarios que cobran estas partidas, incumpliendo esta norma que establece que quienes cobran partidas por realizar tareas insalubres no pueden realizar horas extras.</w:t>
      </w:r>
    </w:p>
    <w:p w:rsidR="00852D39" w:rsidRDefault="00852D39" w:rsidP="00852D39">
      <w:pPr>
        <w:pStyle w:val="Lista"/>
        <w:tabs>
          <w:tab w:val="left" w:pos="360"/>
        </w:tabs>
        <w:ind w:left="0" w:firstLine="0"/>
        <w:rPr>
          <w:rFonts w:cs="Arial"/>
          <w:lang w:val="es-ES"/>
        </w:rPr>
      </w:pPr>
    </w:p>
    <w:p w:rsidR="00852D39" w:rsidRDefault="00852D39" w:rsidP="00852D39">
      <w:pPr>
        <w:pStyle w:val="Lista"/>
        <w:tabs>
          <w:tab w:val="left" w:pos="360"/>
        </w:tabs>
        <w:ind w:left="0" w:firstLine="0"/>
        <w:rPr>
          <w:rFonts w:cs="Arial"/>
          <w:snapToGrid w:val="0"/>
        </w:rPr>
      </w:pPr>
      <w:r>
        <w:rPr>
          <w:rFonts w:cs="Arial"/>
          <w:b/>
          <w:bCs/>
          <w:snapToGrid w:val="0"/>
        </w:rPr>
        <w:t>20. Artículo 32 del Libro Segundo del Presupuesto Quinquenal 2011-2015</w:t>
      </w:r>
      <w:r>
        <w:rPr>
          <w:rFonts w:cs="Arial"/>
          <w:b/>
          <w:bCs/>
          <w:snapToGrid w:val="0"/>
          <w:shd w:val="clear" w:color="auto" w:fill="92D050"/>
        </w:rPr>
        <w:t xml:space="preserve"> </w:t>
      </w:r>
      <w:r>
        <w:rPr>
          <w:rFonts w:cs="Arial"/>
          <w:b/>
          <w:bCs/>
          <w:snapToGrid w:val="0"/>
        </w:rPr>
        <w:t xml:space="preserve">(Decreto N° 51/011): </w:t>
      </w:r>
      <w:r w:rsidRPr="00BE6661">
        <w:rPr>
          <w:rFonts w:cs="Arial"/>
          <w:bCs/>
          <w:snapToGrid w:val="0"/>
        </w:rPr>
        <w:t>Algunas</w:t>
      </w:r>
      <w:r>
        <w:rPr>
          <w:rFonts w:cs="Arial"/>
          <w:b/>
          <w:bCs/>
          <w:snapToGrid w:val="0"/>
        </w:rPr>
        <w:t xml:space="preserve"> </w:t>
      </w:r>
      <w:r>
        <w:rPr>
          <w:rFonts w:cs="Arial"/>
          <w:snapToGrid w:val="0"/>
        </w:rPr>
        <w:t>asignaciones presupuestales no se exponen ni fueron ajustadas en la forma prevista por esta norma.</w:t>
      </w:r>
    </w:p>
    <w:p w:rsidR="00852D39" w:rsidRDefault="00852D39" w:rsidP="00852D39">
      <w:pPr>
        <w:pStyle w:val="Lista"/>
        <w:tabs>
          <w:tab w:val="left" w:pos="360"/>
        </w:tabs>
        <w:ind w:left="0" w:firstLine="0"/>
        <w:rPr>
          <w:rFonts w:cs="Arial"/>
          <w:snapToGrid w:val="0"/>
        </w:rPr>
      </w:pPr>
    </w:p>
    <w:p w:rsidR="00852D39" w:rsidRDefault="00852D39" w:rsidP="00852D39">
      <w:pPr>
        <w:tabs>
          <w:tab w:val="left" w:pos="0"/>
        </w:tabs>
        <w:spacing w:line="360" w:lineRule="auto"/>
        <w:jc w:val="both"/>
        <w:rPr>
          <w:rFonts w:cs="Arial"/>
          <w:lang w:val="es-UY"/>
        </w:rPr>
      </w:pPr>
      <w:r>
        <w:rPr>
          <w:rFonts w:cs="Arial"/>
          <w:b/>
          <w:bCs/>
          <w:lang w:val="es-UY"/>
        </w:rPr>
        <w:t xml:space="preserve">21. Resolución del 28/01/04 del Tribunal de Cuentas: </w:t>
      </w:r>
      <w:r>
        <w:rPr>
          <w:rFonts w:cs="Arial"/>
          <w:lang w:val="es-UY"/>
        </w:rPr>
        <w:t>El documento de la Rendición de Cuentas presentado no se ajusta en su totalidad a lo dispuesto por esta norma.</w:t>
      </w:r>
    </w:p>
    <w:p w:rsidR="00852D39" w:rsidRDefault="00852D39" w:rsidP="00852D39">
      <w:pPr>
        <w:tabs>
          <w:tab w:val="left" w:pos="0"/>
        </w:tabs>
        <w:spacing w:line="360" w:lineRule="auto"/>
        <w:jc w:val="both"/>
        <w:rPr>
          <w:rFonts w:cs="Arial"/>
          <w:lang w:val="es-UY"/>
        </w:rPr>
      </w:pPr>
    </w:p>
    <w:p w:rsidR="00852D39" w:rsidRDefault="00852D39" w:rsidP="00852D39">
      <w:pPr>
        <w:tabs>
          <w:tab w:val="left" w:pos="0"/>
        </w:tabs>
        <w:spacing w:line="360" w:lineRule="auto"/>
        <w:jc w:val="both"/>
        <w:rPr>
          <w:rFonts w:cs="Arial"/>
          <w:bCs/>
        </w:rPr>
      </w:pPr>
      <w:r>
        <w:rPr>
          <w:rFonts w:cs="Arial"/>
          <w:b/>
          <w:bCs/>
          <w:snapToGrid w:val="0"/>
        </w:rPr>
        <w:t xml:space="preserve">22. Resolución del 11/05/05 del Tribunal de Cuentas: </w:t>
      </w:r>
      <w:r>
        <w:rPr>
          <w:rFonts w:cs="Arial"/>
        </w:rPr>
        <w:t xml:space="preserve">No se remitieron al Tribunal de Cuentas </w:t>
      </w:r>
      <w:r>
        <w:rPr>
          <w:rFonts w:cs="Arial"/>
          <w:bCs/>
        </w:rPr>
        <w:t>los informes relativos a las concesiones.</w:t>
      </w:r>
    </w:p>
    <w:p w:rsidR="00852D39" w:rsidRDefault="00852D39" w:rsidP="00852D39">
      <w:pPr>
        <w:tabs>
          <w:tab w:val="left" w:pos="0"/>
        </w:tabs>
        <w:spacing w:line="360" w:lineRule="auto"/>
        <w:jc w:val="both"/>
        <w:rPr>
          <w:rFonts w:cs="Arial"/>
        </w:rPr>
      </w:pPr>
      <w:r>
        <w:rPr>
          <w:rFonts w:cs="Arial"/>
          <w:b/>
        </w:rPr>
        <w:t>23. Decretos Nos. 200/08, 212/08, 241/09, 282/10 y 40/11 de la Junta Departamental</w:t>
      </w:r>
      <w:r>
        <w:rPr>
          <w:rFonts w:cs="Arial"/>
          <w:b/>
          <w:color w:val="3366FF"/>
        </w:rPr>
        <w:t xml:space="preserve"> </w:t>
      </w:r>
      <w:r>
        <w:rPr>
          <w:rFonts w:cs="Arial"/>
          <w:b/>
        </w:rPr>
        <w:t>(Caducidad de Convenios):</w:t>
      </w:r>
      <w:r>
        <w:rPr>
          <w:rFonts w:cs="Arial"/>
        </w:rPr>
        <w:t xml:space="preserve"> La Intendencia no cumplió con los términos de caducidad dispuestos en los convenios realizados con sus deudores. La anulación de los convenios por incumplimiento no se efectiviza en forma regular ni sistemática.</w:t>
      </w:r>
    </w:p>
    <w:p w:rsidR="00852D39" w:rsidRDefault="00852D39" w:rsidP="00852D39">
      <w:pPr>
        <w:spacing w:line="360" w:lineRule="auto"/>
        <w:jc w:val="right"/>
        <w:rPr>
          <w:rFonts w:cs="Arial"/>
          <w:snapToGrid w:val="0"/>
          <w:kern w:val="18"/>
          <w:szCs w:val="20"/>
          <w:lang w:val="es-ES_tradnl"/>
        </w:rPr>
      </w:pPr>
      <w:bookmarkStart w:id="2" w:name="_Toc84155662"/>
      <w:r w:rsidRPr="0032687A">
        <w:rPr>
          <w:rFonts w:cs="Arial"/>
          <w:snapToGrid w:val="0"/>
          <w:kern w:val="18"/>
          <w:szCs w:val="20"/>
          <w:lang w:val="es-ES_tradnl"/>
        </w:rPr>
        <w:t>Montevideo,</w:t>
      </w:r>
      <w:r>
        <w:rPr>
          <w:rFonts w:cs="Arial"/>
          <w:snapToGrid w:val="0"/>
          <w:kern w:val="18"/>
          <w:szCs w:val="20"/>
          <w:lang w:val="es-ES_tradnl"/>
        </w:rPr>
        <w:t xml:space="preserve"> 5 </w:t>
      </w:r>
      <w:r w:rsidRPr="0032687A">
        <w:rPr>
          <w:rFonts w:cs="Arial"/>
          <w:snapToGrid w:val="0"/>
          <w:kern w:val="18"/>
          <w:szCs w:val="20"/>
          <w:lang w:val="es-ES_tradnl"/>
        </w:rPr>
        <w:t xml:space="preserve">de </w:t>
      </w:r>
      <w:r>
        <w:rPr>
          <w:rFonts w:cs="Arial"/>
          <w:snapToGrid w:val="0"/>
          <w:kern w:val="18"/>
          <w:szCs w:val="20"/>
          <w:lang w:val="es-ES_tradnl"/>
        </w:rPr>
        <w:t>diciembre</w:t>
      </w:r>
      <w:r w:rsidRPr="0032687A">
        <w:rPr>
          <w:rFonts w:cs="Arial"/>
          <w:snapToGrid w:val="0"/>
          <w:kern w:val="18"/>
          <w:szCs w:val="20"/>
          <w:lang w:val="es-ES_tradnl"/>
        </w:rPr>
        <w:t xml:space="preserve"> de 2014</w:t>
      </w:r>
      <w:bookmarkEnd w:id="2"/>
    </w:p>
    <w:p w:rsidR="00852D39" w:rsidRDefault="00852D39" w:rsidP="00852D39">
      <w:pPr>
        <w:spacing w:line="360" w:lineRule="auto"/>
        <w:jc w:val="right"/>
        <w:rPr>
          <w:rFonts w:cs="Arial"/>
          <w:snapToGrid w:val="0"/>
          <w:kern w:val="18"/>
          <w:szCs w:val="20"/>
          <w:lang w:val="es-ES_tradnl"/>
        </w:rPr>
      </w:pPr>
    </w:p>
    <w:p w:rsidR="00852D39" w:rsidRDefault="00852D39" w:rsidP="00852D39">
      <w:pPr>
        <w:spacing w:line="360" w:lineRule="auto"/>
        <w:jc w:val="right"/>
        <w:rPr>
          <w:rFonts w:cs="Arial"/>
          <w:snapToGrid w:val="0"/>
          <w:kern w:val="18"/>
          <w:szCs w:val="20"/>
          <w:lang w:val="es-ES_tradnl"/>
        </w:rPr>
      </w:pPr>
    </w:p>
    <w:p w:rsidR="00852D39" w:rsidRDefault="00852D39" w:rsidP="00852D39">
      <w:pPr>
        <w:pStyle w:val="Ttulo1"/>
      </w:pPr>
      <w:bookmarkStart w:id="3" w:name="_Toc310000923"/>
      <w:bookmarkStart w:id="4" w:name="_Toc344371117"/>
      <w:r>
        <w:t>INFORME A LA ADMINISTRACIÓN</w:t>
      </w:r>
      <w:bookmarkEnd w:id="3"/>
      <w:bookmarkEnd w:id="4"/>
    </w:p>
    <w:p w:rsidR="00852D39" w:rsidRDefault="00852D39" w:rsidP="00852D39"/>
    <w:p w:rsidR="00852D39" w:rsidRPr="002014A2" w:rsidRDefault="00852D39" w:rsidP="00852D39">
      <w:pPr>
        <w:pStyle w:val="Textoindependiente2"/>
        <w:jc w:val="both"/>
        <w:rPr>
          <w:rFonts w:ascii="Arial" w:hAnsi="Arial" w:cs="Arial"/>
        </w:rPr>
      </w:pPr>
      <w:r w:rsidRPr="002014A2">
        <w:rPr>
          <w:rFonts w:ascii="Arial" w:hAnsi="Arial" w:cs="Arial"/>
        </w:rPr>
        <w:t xml:space="preserve">El Tribunal de Cuentas ha examinado la Rendición de Cuentas y Balance de Ejecución Presupuestal correspondiente al </w:t>
      </w:r>
      <w:r>
        <w:rPr>
          <w:rFonts w:ascii="Arial" w:hAnsi="Arial" w:cs="Arial"/>
        </w:rPr>
        <w:t>E</w:t>
      </w:r>
      <w:r w:rsidRPr="002014A2">
        <w:rPr>
          <w:rFonts w:ascii="Arial" w:hAnsi="Arial" w:cs="Arial"/>
        </w:rPr>
        <w:t>jercicio 201</w:t>
      </w:r>
      <w:r>
        <w:rPr>
          <w:rFonts w:ascii="Arial" w:hAnsi="Arial" w:cs="Arial"/>
        </w:rPr>
        <w:t>3</w:t>
      </w:r>
      <w:r w:rsidRPr="002014A2">
        <w:rPr>
          <w:rFonts w:ascii="Arial" w:hAnsi="Arial" w:cs="Arial"/>
        </w:rPr>
        <w:t xml:space="preserve"> y ha emitido su correspondiente Dictamen.</w:t>
      </w:r>
    </w:p>
    <w:p w:rsidR="00852D39" w:rsidRPr="002014A2" w:rsidRDefault="00852D39" w:rsidP="00852D39">
      <w:pPr>
        <w:pStyle w:val="Textoindependiente2"/>
        <w:jc w:val="both"/>
        <w:rPr>
          <w:rFonts w:ascii="Arial" w:hAnsi="Arial" w:cs="Arial"/>
        </w:rPr>
      </w:pPr>
      <w:r w:rsidRPr="002014A2">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852D39" w:rsidRDefault="00852D39" w:rsidP="00852D39">
      <w:pPr>
        <w:pStyle w:val="Textoindependiente2"/>
      </w:pPr>
    </w:p>
    <w:p w:rsidR="00852D39" w:rsidRDefault="00852D39" w:rsidP="00852D39">
      <w:pPr>
        <w:pStyle w:val="Ttulo2"/>
        <w:numPr>
          <w:ilvl w:val="1"/>
          <w:numId w:val="0"/>
        </w:numPr>
        <w:tabs>
          <w:tab w:val="num" w:pos="0"/>
        </w:tabs>
        <w:spacing w:after="0"/>
        <w:jc w:val="both"/>
        <w:rPr>
          <w:rFonts w:cs="Arial"/>
          <w:bCs/>
        </w:rPr>
      </w:pPr>
      <w:bookmarkStart w:id="5" w:name="_Toc310000924"/>
      <w:bookmarkStart w:id="6" w:name="_Toc344371118"/>
      <w:r>
        <w:rPr>
          <w:rFonts w:cs="Arial"/>
          <w:bCs/>
        </w:rPr>
        <w:t>3.1 CONSTATACIONES QUE NO AFECTAN LA OPINIÓN DE LOS ESTADOS CONTABLES</w:t>
      </w:r>
      <w:bookmarkEnd w:id="5"/>
      <w:bookmarkEnd w:id="6"/>
    </w:p>
    <w:p w:rsidR="00852D39" w:rsidRDefault="00852D39" w:rsidP="00852D39">
      <w:pPr>
        <w:pStyle w:val="Textoindependiente"/>
        <w:rPr>
          <w:lang w:val="es-ES"/>
        </w:rPr>
      </w:pPr>
    </w:p>
    <w:p w:rsidR="00852D39" w:rsidRDefault="00852D39" w:rsidP="00852D39">
      <w:pPr>
        <w:pStyle w:val="Ttulo3"/>
        <w:spacing w:before="0" w:after="0" w:line="360" w:lineRule="auto"/>
        <w:jc w:val="both"/>
        <w:rPr>
          <w:sz w:val="24"/>
          <w:szCs w:val="24"/>
        </w:rPr>
      </w:pPr>
      <w:r w:rsidRPr="0070753B">
        <w:rPr>
          <w:sz w:val="24"/>
          <w:szCs w:val="24"/>
        </w:rPr>
        <w:t>3.1.</w:t>
      </w:r>
      <w:r>
        <w:rPr>
          <w:sz w:val="24"/>
          <w:szCs w:val="24"/>
        </w:rPr>
        <w:t>1</w:t>
      </w:r>
      <w:r w:rsidRPr="0070753B">
        <w:rPr>
          <w:sz w:val="24"/>
          <w:szCs w:val="24"/>
        </w:rPr>
        <w:t xml:space="preserve"> Ajuste </w:t>
      </w:r>
      <w:r>
        <w:rPr>
          <w:sz w:val="24"/>
          <w:szCs w:val="24"/>
        </w:rPr>
        <w:t>de saldos de Caja</w:t>
      </w:r>
    </w:p>
    <w:p w:rsidR="00852D39" w:rsidRPr="00806282" w:rsidRDefault="00852D39" w:rsidP="00852D39">
      <w:pPr>
        <w:spacing w:line="360" w:lineRule="auto"/>
        <w:jc w:val="both"/>
        <w:rPr>
          <w:rFonts w:cs="Arial"/>
        </w:rPr>
      </w:pPr>
      <w:r w:rsidRPr="00806282">
        <w:rPr>
          <w:rFonts w:cs="Arial"/>
        </w:rPr>
        <w:t xml:space="preserve">Se detectaron diferencias entre los saldos de caja arqueados y los  expuestos en el documento de la Rendición de Cuentas, por lo que corresponde ajustar a los saldos arqueados, llevando a pérdida del ejercicio dichas diferencias. Esto  determina un ajuste de </w:t>
      </w:r>
      <w:r w:rsidRPr="004F52DF">
        <w:rPr>
          <w:rFonts w:cs="Arial"/>
        </w:rPr>
        <w:t>$ 87.847</w:t>
      </w:r>
      <w:r w:rsidRPr="00806282">
        <w:rPr>
          <w:rFonts w:cs="Arial"/>
        </w:rPr>
        <w:t>, disminuye</w:t>
      </w:r>
      <w:r w:rsidR="00F51AB7">
        <w:rPr>
          <w:rFonts w:cs="Arial"/>
        </w:rPr>
        <w:t>ndo el superávit del ejercicio.</w:t>
      </w:r>
    </w:p>
    <w:p w:rsidR="00852D39" w:rsidRPr="001A1574" w:rsidRDefault="00852D39" w:rsidP="00852D39"/>
    <w:p w:rsidR="00852D39" w:rsidRDefault="00852D39" w:rsidP="00852D39">
      <w:pPr>
        <w:pStyle w:val="Ttulo3"/>
        <w:spacing w:before="0" w:after="0" w:line="360" w:lineRule="auto"/>
        <w:jc w:val="both"/>
        <w:rPr>
          <w:sz w:val="24"/>
          <w:szCs w:val="24"/>
        </w:rPr>
      </w:pPr>
      <w:r w:rsidRPr="00F644C1">
        <w:t>3</w:t>
      </w:r>
      <w:r w:rsidRPr="0070753B">
        <w:rPr>
          <w:sz w:val="24"/>
          <w:szCs w:val="24"/>
        </w:rPr>
        <w:t>.1.</w:t>
      </w:r>
      <w:r>
        <w:rPr>
          <w:sz w:val="24"/>
          <w:szCs w:val="24"/>
        </w:rPr>
        <w:t>2</w:t>
      </w:r>
      <w:r w:rsidRPr="0070753B">
        <w:rPr>
          <w:sz w:val="24"/>
          <w:szCs w:val="24"/>
        </w:rPr>
        <w:t xml:space="preserve"> </w:t>
      </w:r>
      <w:r>
        <w:rPr>
          <w:sz w:val="24"/>
          <w:szCs w:val="24"/>
        </w:rPr>
        <w:t>Gastos bancarios no contabilizados</w:t>
      </w:r>
    </w:p>
    <w:p w:rsidR="00852D39" w:rsidRPr="00806282" w:rsidRDefault="00852D39" w:rsidP="00852D39">
      <w:pPr>
        <w:spacing w:line="360" w:lineRule="auto"/>
        <w:jc w:val="both"/>
        <w:rPr>
          <w:rFonts w:cs="Arial"/>
        </w:rPr>
      </w:pPr>
      <w:r w:rsidRPr="00806282">
        <w:rPr>
          <w:rFonts w:cs="Arial"/>
        </w:rPr>
        <w:t>No se incluye</w:t>
      </w:r>
      <w:r>
        <w:rPr>
          <w:rFonts w:cs="Arial"/>
        </w:rPr>
        <w:t>ron</w:t>
      </w:r>
      <w:r w:rsidRPr="00806282">
        <w:rPr>
          <w:rFonts w:cs="Arial"/>
        </w:rPr>
        <w:t xml:space="preserve"> como egresos del ejercicio gastos bancarios por </w:t>
      </w:r>
      <w:r w:rsidRPr="004F52DF">
        <w:rPr>
          <w:rFonts w:cs="Arial"/>
        </w:rPr>
        <w:t>$ 197.808</w:t>
      </w:r>
      <w:r>
        <w:rPr>
          <w:rFonts w:cs="Arial"/>
        </w:rPr>
        <w:t>, provenientes de partidas conciliatorias</w:t>
      </w:r>
      <w:r w:rsidRPr="00806282">
        <w:rPr>
          <w:rFonts w:cs="Arial"/>
        </w:rPr>
        <w:t>. Dicho ajuste disminu</w:t>
      </w:r>
      <w:r>
        <w:rPr>
          <w:rFonts w:cs="Arial"/>
        </w:rPr>
        <w:t xml:space="preserve">ye </w:t>
      </w:r>
      <w:r w:rsidRPr="00806282">
        <w:rPr>
          <w:rFonts w:cs="Arial"/>
        </w:rPr>
        <w:t>el superávit del ejercicio.</w:t>
      </w:r>
    </w:p>
    <w:p w:rsidR="00852D39" w:rsidRPr="001E4291" w:rsidRDefault="00852D39" w:rsidP="00852D39">
      <w:pPr>
        <w:pStyle w:val="Textoindependiente"/>
        <w:spacing w:after="0"/>
        <w:rPr>
          <w:lang w:val="es-ES"/>
        </w:rPr>
      </w:pPr>
    </w:p>
    <w:p w:rsidR="00852D39" w:rsidRPr="0070753B" w:rsidRDefault="00852D39" w:rsidP="00852D39">
      <w:pPr>
        <w:pStyle w:val="Ttulo3"/>
        <w:spacing w:before="0" w:after="0" w:line="360" w:lineRule="auto"/>
        <w:jc w:val="both"/>
        <w:rPr>
          <w:sz w:val="24"/>
          <w:szCs w:val="24"/>
        </w:rPr>
      </w:pPr>
      <w:bookmarkStart w:id="7" w:name="_Toc247944530"/>
      <w:bookmarkStart w:id="8" w:name="_Toc84082760"/>
      <w:r w:rsidRPr="0070753B">
        <w:rPr>
          <w:sz w:val="24"/>
          <w:szCs w:val="24"/>
        </w:rPr>
        <w:t>3.1.</w:t>
      </w:r>
      <w:r>
        <w:rPr>
          <w:sz w:val="24"/>
          <w:szCs w:val="24"/>
        </w:rPr>
        <w:t>3</w:t>
      </w:r>
      <w:r w:rsidRPr="0070753B">
        <w:rPr>
          <w:sz w:val="24"/>
          <w:szCs w:val="24"/>
        </w:rPr>
        <w:t xml:space="preserve"> Ajuste por </w:t>
      </w:r>
      <w:r>
        <w:rPr>
          <w:sz w:val="24"/>
          <w:szCs w:val="24"/>
        </w:rPr>
        <w:t>deuda con BROU (Crédito Social)</w:t>
      </w:r>
    </w:p>
    <w:p w:rsidR="00852D39" w:rsidRPr="00F51078" w:rsidRDefault="00852D39" w:rsidP="00852D39">
      <w:pPr>
        <w:tabs>
          <w:tab w:val="left" w:pos="0"/>
        </w:tabs>
        <w:spacing w:line="360" w:lineRule="auto"/>
        <w:jc w:val="both"/>
        <w:rPr>
          <w:rFonts w:cs="Arial"/>
        </w:rPr>
      </w:pPr>
      <w:r>
        <w:rPr>
          <w:rFonts w:cs="Arial"/>
        </w:rPr>
        <w:t>En</w:t>
      </w:r>
      <w:r w:rsidRPr="00F51078">
        <w:rPr>
          <w:rFonts w:cs="Arial"/>
        </w:rPr>
        <w:t xml:space="preserve"> el cuadro de Evolución de Convenios</w:t>
      </w:r>
      <w:r>
        <w:rPr>
          <w:rFonts w:cs="Arial"/>
        </w:rPr>
        <w:t xml:space="preserve"> se expone</w:t>
      </w:r>
      <w:r w:rsidRPr="00F51078">
        <w:rPr>
          <w:rFonts w:cs="Arial"/>
        </w:rPr>
        <w:t xml:space="preserve"> la deuda</w:t>
      </w:r>
      <w:r>
        <w:rPr>
          <w:rFonts w:cs="Arial"/>
        </w:rPr>
        <w:t xml:space="preserve"> con el BROU</w:t>
      </w:r>
      <w:r w:rsidRPr="00F51078">
        <w:rPr>
          <w:rFonts w:cs="Arial"/>
        </w:rPr>
        <w:t xml:space="preserve"> por Crédito </w:t>
      </w:r>
      <w:r w:rsidRPr="00F51078">
        <w:rPr>
          <w:rFonts w:cs="Arial"/>
          <w:spacing w:val="-10"/>
        </w:rPr>
        <w:t xml:space="preserve">Social </w:t>
      </w:r>
      <w:r>
        <w:rPr>
          <w:rFonts w:cs="Arial"/>
          <w:spacing w:val="-10"/>
        </w:rPr>
        <w:t>por</w:t>
      </w:r>
      <w:r w:rsidRPr="00F51078">
        <w:rPr>
          <w:rFonts w:cs="Arial"/>
          <w:spacing w:val="-10"/>
        </w:rPr>
        <w:t xml:space="preserve"> $</w:t>
      </w:r>
      <w:r>
        <w:rPr>
          <w:rFonts w:cs="Arial"/>
          <w:spacing w:val="-10"/>
        </w:rPr>
        <w:t xml:space="preserve"> 9:031.966</w:t>
      </w:r>
      <w:r w:rsidRPr="00F51078">
        <w:rPr>
          <w:rFonts w:cs="Arial"/>
          <w:spacing w:val="-10"/>
        </w:rPr>
        <w:t xml:space="preserve">, en tanto que el </w:t>
      </w:r>
      <w:r>
        <w:rPr>
          <w:rFonts w:cs="Arial"/>
          <w:spacing w:val="-10"/>
        </w:rPr>
        <w:t xml:space="preserve">Organismo </w:t>
      </w:r>
      <w:r w:rsidRPr="00F51078">
        <w:rPr>
          <w:rFonts w:cs="Arial"/>
          <w:spacing w:val="-10"/>
        </w:rPr>
        <w:t xml:space="preserve">informa un saldo de </w:t>
      </w:r>
      <w:r>
        <w:rPr>
          <w:rFonts w:cs="Arial"/>
          <w:spacing w:val="-10"/>
        </w:rPr>
        <w:t xml:space="preserve">       </w:t>
      </w:r>
      <w:r w:rsidRPr="00F51078">
        <w:rPr>
          <w:rFonts w:cs="Arial"/>
          <w:spacing w:val="-10"/>
        </w:rPr>
        <w:t>U$S</w:t>
      </w:r>
      <w:r w:rsidRPr="00F51078">
        <w:rPr>
          <w:rFonts w:cs="Arial"/>
        </w:rPr>
        <w:t xml:space="preserve"> </w:t>
      </w:r>
      <w:r>
        <w:rPr>
          <w:rFonts w:cs="Arial"/>
        </w:rPr>
        <w:t>449</w:t>
      </w:r>
      <w:r w:rsidRPr="00F51078">
        <w:rPr>
          <w:rFonts w:cs="Arial"/>
        </w:rPr>
        <w:t>.</w:t>
      </w:r>
      <w:r>
        <w:rPr>
          <w:rFonts w:cs="Arial"/>
        </w:rPr>
        <w:t>565</w:t>
      </w:r>
      <w:r w:rsidRPr="00F51078">
        <w:rPr>
          <w:rFonts w:cs="Arial"/>
        </w:rPr>
        <w:t>,</w:t>
      </w:r>
      <w:r>
        <w:rPr>
          <w:rFonts w:cs="Arial"/>
        </w:rPr>
        <w:t>8</w:t>
      </w:r>
      <w:r w:rsidRPr="00F51078">
        <w:rPr>
          <w:rFonts w:cs="Arial"/>
        </w:rPr>
        <w:t>9, que al tipo de cambio de cierre de U$S 1= $</w:t>
      </w:r>
      <w:r>
        <w:rPr>
          <w:rFonts w:cs="Arial"/>
        </w:rPr>
        <w:t>21,424</w:t>
      </w:r>
      <w:r w:rsidRPr="00F51078">
        <w:rPr>
          <w:rFonts w:cs="Arial"/>
        </w:rPr>
        <w:t xml:space="preserve"> determina un saldo </w:t>
      </w:r>
      <w:r w:rsidRPr="00F51078">
        <w:rPr>
          <w:rFonts w:cs="Arial"/>
          <w:spacing w:val="8"/>
        </w:rPr>
        <w:t>adeudado de $</w:t>
      </w:r>
      <w:r>
        <w:rPr>
          <w:rFonts w:cs="Arial"/>
          <w:spacing w:val="8"/>
        </w:rPr>
        <w:t xml:space="preserve"> 9:631.500</w:t>
      </w:r>
      <w:r w:rsidRPr="00F51078">
        <w:rPr>
          <w:rFonts w:cs="Arial"/>
          <w:spacing w:val="8"/>
        </w:rPr>
        <w:t xml:space="preserve">, por lo que corresponde ajustar </w:t>
      </w:r>
      <w:r>
        <w:rPr>
          <w:rFonts w:cs="Arial"/>
          <w:spacing w:val="8"/>
        </w:rPr>
        <w:t xml:space="preserve">el mismo </w:t>
      </w:r>
      <w:r w:rsidRPr="00F51078">
        <w:rPr>
          <w:rFonts w:cs="Arial"/>
          <w:spacing w:val="8"/>
        </w:rPr>
        <w:t xml:space="preserve">en </w:t>
      </w:r>
      <w:r w:rsidRPr="004F52DF">
        <w:rPr>
          <w:rFonts w:cs="Arial"/>
          <w:spacing w:val="-10"/>
        </w:rPr>
        <w:t>$ 599.534</w:t>
      </w:r>
      <w:r w:rsidRPr="00F51078">
        <w:rPr>
          <w:rFonts w:cs="Arial"/>
        </w:rPr>
        <w:t xml:space="preserve">, </w:t>
      </w:r>
      <w:r>
        <w:rPr>
          <w:rFonts w:cs="Arial"/>
        </w:rPr>
        <w:t xml:space="preserve">disminuyendo </w:t>
      </w:r>
      <w:r w:rsidRPr="00F51078">
        <w:rPr>
          <w:rFonts w:cs="Arial"/>
        </w:rPr>
        <w:t xml:space="preserve">el </w:t>
      </w:r>
      <w:r>
        <w:rPr>
          <w:rFonts w:cs="Arial"/>
        </w:rPr>
        <w:t>superávit</w:t>
      </w:r>
      <w:r w:rsidRPr="00F51078">
        <w:rPr>
          <w:rFonts w:cs="Arial"/>
        </w:rPr>
        <w:t xml:space="preserve"> del ejercicio.</w:t>
      </w:r>
    </w:p>
    <w:p w:rsidR="00852D39" w:rsidRDefault="00852D39" w:rsidP="00852D39">
      <w:pPr>
        <w:pStyle w:val="Textoindependiente"/>
        <w:spacing w:after="0" w:line="360" w:lineRule="auto"/>
        <w:rPr>
          <w:rFonts w:cs="Arial"/>
          <w:kern w:val="0"/>
          <w:szCs w:val="24"/>
          <w:lang w:val="es-ES"/>
        </w:rPr>
      </w:pPr>
    </w:p>
    <w:p w:rsidR="00852D39" w:rsidRPr="00F51078" w:rsidRDefault="00852D39" w:rsidP="00852D39">
      <w:pPr>
        <w:pStyle w:val="Ttulo3"/>
        <w:spacing w:before="0" w:after="0" w:line="360" w:lineRule="auto"/>
        <w:jc w:val="both"/>
        <w:rPr>
          <w:sz w:val="24"/>
          <w:szCs w:val="24"/>
        </w:rPr>
      </w:pPr>
      <w:r w:rsidRPr="00F51078">
        <w:rPr>
          <w:sz w:val="24"/>
          <w:szCs w:val="24"/>
        </w:rPr>
        <w:t>3.1.</w:t>
      </w:r>
      <w:r>
        <w:rPr>
          <w:sz w:val="24"/>
          <w:szCs w:val="24"/>
        </w:rPr>
        <w:t>4</w:t>
      </w:r>
      <w:r w:rsidRPr="00F51078">
        <w:rPr>
          <w:sz w:val="24"/>
          <w:szCs w:val="24"/>
        </w:rPr>
        <w:t xml:space="preserve"> Ajuste </w:t>
      </w:r>
      <w:r>
        <w:rPr>
          <w:sz w:val="24"/>
          <w:szCs w:val="24"/>
        </w:rPr>
        <w:t>de la</w:t>
      </w:r>
      <w:r w:rsidRPr="00F51078">
        <w:rPr>
          <w:sz w:val="24"/>
          <w:szCs w:val="24"/>
        </w:rPr>
        <w:t xml:space="preserve"> deuda con UTE</w:t>
      </w:r>
      <w:r>
        <w:rPr>
          <w:sz w:val="24"/>
          <w:szCs w:val="24"/>
        </w:rPr>
        <w:t xml:space="preserve"> (Convenio)</w:t>
      </w:r>
    </w:p>
    <w:p w:rsidR="00852D39" w:rsidRPr="00F51078" w:rsidRDefault="00852D39" w:rsidP="00852D39">
      <w:pPr>
        <w:tabs>
          <w:tab w:val="left" w:pos="0"/>
        </w:tabs>
        <w:spacing w:line="360" w:lineRule="auto"/>
        <w:jc w:val="both"/>
        <w:rPr>
          <w:rFonts w:cs="Arial"/>
        </w:rPr>
      </w:pPr>
      <w:r w:rsidRPr="00F51078">
        <w:rPr>
          <w:rFonts w:cs="Arial"/>
        </w:rPr>
        <w:t xml:space="preserve">En el cuadro de Evolución de Convenios se presenta la deuda que mantiene la Intendencia con </w:t>
      </w:r>
      <w:r>
        <w:rPr>
          <w:rFonts w:cs="Arial"/>
        </w:rPr>
        <w:t xml:space="preserve"> UTE. E</w:t>
      </w:r>
      <w:r w:rsidRPr="00F51078">
        <w:rPr>
          <w:rFonts w:cs="Arial"/>
        </w:rPr>
        <w:t xml:space="preserve">n diciembre de 2013 </w:t>
      </w:r>
      <w:r>
        <w:rPr>
          <w:rFonts w:cs="Arial"/>
        </w:rPr>
        <w:t xml:space="preserve">dicha deuda </w:t>
      </w:r>
      <w:r w:rsidRPr="00F51078">
        <w:rPr>
          <w:rFonts w:cs="Arial"/>
        </w:rPr>
        <w:t xml:space="preserve">fue reconvenida, otorgándosele a la </w:t>
      </w:r>
      <w:r>
        <w:rPr>
          <w:rFonts w:cs="Arial"/>
        </w:rPr>
        <w:t>comuna</w:t>
      </w:r>
      <w:r w:rsidRPr="00F51078">
        <w:rPr>
          <w:rFonts w:cs="Arial"/>
        </w:rPr>
        <w:t xml:space="preserve"> una quita del 60% </w:t>
      </w:r>
      <w:r>
        <w:rPr>
          <w:rFonts w:cs="Arial"/>
        </w:rPr>
        <w:t xml:space="preserve">a las </w:t>
      </w:r>
      <w:r w:rsidRPr="00F51078">
        <w:rPr>
          <w:rFonts w:cs="Arial"/>
        </w:rPr>
        <w:t>facturas impagas anteriores al ejercicio 2010</w:t>
      </w:r>
      <w:r>
        <w:rPr>
          <w:rFonts w:cs="Arial"/>
        </w:rPr>
        <w:t>, y fue</w:t>
      </w:r>
      <w:r w:rsidRPr="00F51078">
        <w:rPr>
          <w:rFonts w:cs="Arial"/>
        </w:rPr>
        <w:t xml:space="preserve"> convertida a </w:t>
      </w:r>
      <w:r>
        <w:rPr>
          <w:rFonts w:cs="Arial"/>
        </w:rPr>
        <w:t>u</w:t>
      </w:r>
      <w:r w:rsidRPr="00F51078">
        <w:rPr>
          <w:rFonts w:cs="Arial"/>
        </w:rPr>
        <w:t xml:space="preserve">nidades </w:t>
      </w:r>
      <w:r>
        <w:rPr>
          <w:rFonts w:cs="Arial"/>
        </w:rPr>
        <w:t>i</w:t>
      </w:r>
      <w:r w:rsidRPr="00F51078">
        <w:rPr>
          <w:rFonts w:cs="Arial"/>
        </w:rPr>
        <w:t>n</w:t>
      </w:r>
      <w:r>
        <w:rPr>
          <w:rFonts w:cs="Arial"/>
        </w:rPr>
        <w:t>dexadas, con un saldo de           UI 11:</w:t>
      </w:r>
      <w:r w:rsidRPr="00F51078">
        <w:rPr>
          <w:rFonts w:cs="Arial"/>
        </w:rPr>
        <w:t>996.089. Dicha deuda será abonada en 20 cuotas anuales y consecutivas, venciendo la primera el 28/02/2015. También se pactó un interés compensatorio sobre saldos a partir del 30/09/2013</w:t>
      </w:r>
      <w:r w:rsidR="00A17A45">
        <w:rPr>
          <w:rFonts w:cs="Arial"/>
        </w:rPr>
        <w:t xml:space="preserve"> a la tasa del 5% lineal anual.</w:t>
      </w:r>
    </w:p>
    <w:p w:rsidR="00852D39" w:rsidRDefault="00852D39" w:rsidP="00852D39">
      <w:pPr>
        <w:tabs>
          <w:tab w:val="left" w:pos="0"/>
        </w:tabs>
        <w:spacing w:line="360" w:lineRule="auto"/>
        <w:jc w:val="both"/>
        <w:rPr>
          <w:rFonts w:cs="Arial"/>
        </w:rPr>
      </w:pPr>
      <w:r>
        <w:rPr>
          <w:rFonts w:cs="Arial"/>
        </w:rPr>
        <w:t>En la Rendición de C</w:t>
      </w:r>
      <w:r w:rsidRPr="00F51078">
        <w:rPr>
          <w:rFonts w:cs="Arial"/>
        </w:rPr>
        <w:t xml:space="preserve">uentas se expone </w:t>
      </w:r>
      <w:r>
        <w:rPr>
          <w:rFonts w:cs="Arial"/>
        </w:rPr>
        <w:t>l</w:t>
      </w:r>
      <w:r w:rsidRPr="00F51078">
        <w:rPr>
          <w:rFonts w:cs="Arial"/>
        </w:rPr>
        <w:t xml:space="preserve">a deuda por $ 32:894.476, saldo </w:t>
      </w:r>
      <w:r>
        <w:rPr>
          <w:rFonts w:cs="Arial"/>
        </w:rPr>
        <w:t xml:space="preserve">que fue </w:t>
      </w:r>
      <w:r w:rsidRPr="00F51078">
        <w:rPr>
          <w:rFonts w:cs="Arial"/>
        </w:rPr>
        <w:t xml:space="preserve">actualizado por el valor de la unidad indexada al cierre del ejercicio </w:t>
      </w:r>
      <w:r>
        <w:rPr>
          <w:rFonts w:cs="Arial"/>
        </w:rPr>
        <w:t xml:space="preserve">           </w:t>
      </w:r>
      <w:r w:rsidRPr="00F51078">
        <w:rPr>
          <w:rFonts w:cs="Arial"/>
        </w:rPr>
        <w:t>de 1</w:t>
      </w:r>
      <w:r>
        <w:rPr>
          <w:rFonts w:cs="Arial"/>
        </w:rPr>
        <w:t xml:space="preserve"> </w:t>
      </w:r>
      <w:r w:rsidRPr="00F51078">
        <w:rPr>
          <w:rFonts w:cs="Arial"/>
        </w:rPr>
        <w:t xml:space="preserve">UI = $ 2,7421, pero no fueron </w:t>
      </w:r>
      <w:r>
        <w:rPr>
          <w:rFonts w:cs="Arial"/>
        </w:rPr>
        <w:t>incluidos</w:t>
      </w:r>
      <w:r w:rsidRPr="00F51078">
        <w:rPr>
          <w:rFonts w:cs="Arial"/>
        </w:rPr>
        <w:t xml:space="preserve"> los intereses compensatorios, por lo que </w:t>
      </w:r>
      <w:r>
        <w:rPr>
          <w:rFonts w:cs="Arial"/>
        </w:rPr>
        <w:t>el saldo adeudado es de</w:t>
      </w:r>
      <w:r w:rsidRPr="00F51078">
        <w:rPr>
          <w:rFonts w:cs="Arial"/>
        </w:rPr>
        <w:t xml:space="preserve"> $ 33:305.656. En consecuencia corresponde ajustar </w:t>
      </w:r>
      <w:r>
        <w:rPr>
          <w:rFonts w:cs="Arial"/>
        </w:rPr>
        <w:t>el mismo</w:t>
      </w:r>
      <w:r w:rsidRPr="00F51078">
        <w:rPr>
          <w:rFonts w:cs="Arial"/>
        </w:rPr>
        <w:t xml:space="preserve"> en  </w:t>
      </w:r>
      <w:r w:rsidRPr="004F52DF">
        <w:rPr>
          <w:rFonts w:cs="Arial"/>
        </w:rPr>
        <w:t>$ 411.180</w:t>
      </w:r>
      <w:r w:rsidRPr="00F51078">
        <w:rPr>
          <w:rFonts w:cs="Arial"/>
        </w:rPr>
        <w:t>, disminuyendo el superávit del ejercicio.</w:t>
      </w:r>
    </w:p>
    <w:p w:rsidR="00852D39" w:rsidRDefault="00852D39" w:rsidP="00852D39">
      <w:pPr>
        <w:tabs>
          <w:tab w:val="left" w:pos="0"/>
        </w:tabs>
        <w:spacing w:line="360" w:lineRule="auto"/>
        <w:jc w:val="both"/>
        <w:rPr>
          <w:rFonts w:cs="Arial"/>
        </w:rPr>
      </w:pPr>
    </w:p>
    <w:p w:rsidR="00852D39" w:rsidRPr="004E0314" w:rsidRDefault="00852D39" w:rsidP="00852D39">
      <w:pPr>
        <w:pStyle w:val="Ttulo3"/>
        <w:spacing w:before="0" w:after="0" w:line="360" w:lineRule="auto"/>
        <w:jc w:val="both"/>
        <w:rPr>
          <w:sz w:val="24"/>
          <w:szCs w:val="24"/>
        </w:rPr>
      </w:pPr>
      <w:r w:rsidRPr="004E0314">
        <w:rPr>
          <w:sz w:val="24"/>
          <w:szCs w:val="24"/>
        </w:rPr>
        <w:t>3.1.</w:t>
      </w:r>
      <w:r>
        <w:rPr>
          <w:sz w:val="24"/>
          <w:szCs w:val="24"/>
        </w:rPr>
        <w:t>5</w:t>
      </w:r>
      <w:r w:rsidRPr="004E0314">
        <w:rPr>
          <w:sz w:val="24"/>
          <w:szCs w:val="24"/>
        </w:rPr>
        <w:t xml:space="preserve"> Ajuste </w:t>
      </w:r>
      <w:r>
        <w:rPr>
          <w:sz w:val="24"/>
          <w:szCs w:val="24"/>
        </w:rPr>
        <w:t>de la</w:t>
      </w:r>
      <w:r w:rsidRPr="004E0314">
        <w:rPr>
          <w:sz w:val="24"/>
          <w:szCs w:val="24"/>
        </w:rPr>
        <w:t xml:space="preserve"> deuda </w:t>
      </w:r>
      <w:r>
        <w:rPr>
          <w:sz w:val="24"/>
          <w:szCs w:val="24"/>
        </w:rPr>
        <w:t>con</w:t>
      </w:r>
      <w:r w:rsidRPr="004E0314">
        <w:rPr>
          <w:sz w:val="24"/>
          <w:szCs w:val="24"/>
        </w:rPr>
        <w:t xml:space="preserve"> UTE</w:t>
      </w:r>
      <w:r>
        <w:rPr>
          <w:sz w:val="24"/>
          <w:szCs w:val="24"/>
        </w:rPr>
        <w:t xml:space="preserve"> (Cuenta Corriente)</w:t>
      </w:r>
    </w:p>
    <w:p w:rsidR="00852D39" w:rsidRPr="00A55D0F" w:rsidRDefault="00852D39" w:rsidP="00852D39">
      <w:pPr>
        <w:keepNext/>
        <w:keepLines/>
        <w:spacing w:line="360" w:lineRule="auto"/>
        <w:jc w:val="both"/>
        <w:rPr>
          <w:noProof/>
          <w:lang w:val="es-ES_tradnl" w:eastAsia="en-US"/>
        </w:rPr>
      </w:pPr>
      <w:r w:rsidRPr="00A55D0F">
        <w:rPr>
          <w:noProof/>
          <w:lang w:val="es-ES_tradnl" w:eastAsia="en-US"/>
        </w:rPr>
        <w:t>El saldo de la deuda con UTE en cuenta corriente presentado por la Intendencia es de $ 329.582, cuando según la circularización realizada por este Tribunal a dicho Organismo, la misma asciende a $</w:t>
      </w:r>
      <w:r>
        <w:rPr>
          <w:noProof/>
          <w:lang w:val="es-ES_tradnl" w:eastAsia="en-US"/>
        </w:rPr>
        <w:t xml:space="preserve"> </w:t>
      </w:r>
      <w:r w:rsidRPr="00A55D0F">
        <w:rPr>
          <w:noProof/>
          <w:lang w:val="es-ES_tradnl" w:eastAsia="en-US"/>
        </w:rPr>
        <w:t>12:223.018.</w:t>
      </w:r>
      <w:r>
        <w:rPr>
          <w:noProof/>
          <w:lang w:val="es-ES_tradnl" w:eastAsia="en-US"/>
        </w:rPr>
        <w:t xml:space="preserve"> En el curso de la auditoría se concilió esta deuda, llegándose a la conclusión que la misma asciende al 31/12/2013 a $ 6:507.216, por lo que corresponde un ajuste de        $ 6:177.634 disminuye</w:t>
      </w:r>
      <w:r w:rsidR="00A17A45">
        <w:rPr>
          <w:noProof/>
          <w:lang w:val="es-ES_tradnl" w:eastAsia="en-US"/>
        </w:rPr>
        <w:t>ndo el superávit del ejercicio.</w:t>
      </w:r>
    </w:p>
    <w:p w:rsidR="00852D39" w:rsidRPr="00A17A45" w:rsidRDefault="00852D39" w:rsidP="00852D39">
      <w:pPr>
        <w:pStyle w:val="Textoindependiente"/>
        <w:spacing w:after="0" w:line="360" w:lineRule="auto"/>
        <w:rPr>
          <w:rFonts w:cs="Arial"/>
          <w:b/>
        </w:rPr>
      </w:pPr>
    </w:p>
    <w:p w:rsidR="00852D39" w:rsidRPr="0065793D" w:rsidRDefault="00852D39" w:rsidP="00852D39">
      <w:pPr>
        <w:pStyle w:val="Ttulo3"/>
        <w:spacing w:before="0" w:after="0" w:line="360" w:lineRule="auto"/>
        <w:jc w:val="both"/>
        <w:rPr>
          <w:sz w:val="24"/>
          <w:szCs w:val="24"/>
        </w:rPr>
      </w:pPr>
      <w:r w:rsidRPr="0065793D">
        <w:rPr>
          <w:sz w:val="24"/>
          <w:szCs w:val="24"/>
        </w:rPr>
        <w:t>3.1.</w:t>
      </w:r>
      <w:r>
        <w:rPr>
          <w:sz w:val="24"/>
          <w:szCs w:val="24"/>
        </w:rPr>
        <w:t>6</w:t>
      </w:r>
      <w:r w:rsidRPr="0065793D">
        <w:rPr>
          <w:sz w:val="24"/>
          <w:szCs w:val="24"/>
        </w:rPr>
        <w:t xml:space="preserve"> Ajuste de la deuda con ANTEL</w:t>
      </w:r>
    </w:p>
    <w:p w:rsidR="00852D39" w:rsidRPr="00A55D0F" w:rsidRDefault="00852D39" w:rsidP="00852D39">
      <w:pPr>
        <w:keepNext/>
        <w:keepLines/>
        <w:spacing w:line="360" w:lineRule="auto"/>
        <w:jc w:val="both"/>
        <w:rPr>
          <w:noProof/>
          <w:lang w:val="es-ES_tradnl" w:eastAsia="en-US"/>
        </w:rPr>
      </w:pPr>
      <w:r>
        <w:rPr>
          <w:rFonts w:cs="Arial"/>
        </w:rPr>
        <w:t xml:space="preserve">El saldo de la deuda con ANTEL presentado </w:t>
      </w:r>
      <w:r w:rsidRPr="00392589">
        <w:t>por</w:t>
      </w:r>
      <w:r>
        <w:rPr>
          <w:rFonts w:cs="Arial"/>
        </w:rPr>
        <w:t xml:space="preserve"> la Intendencia asciende a         $ 948.777, en tanto el Ente informa que la misma es de $ 1:446.534. En la auditoría también se concilió esta deuda</w:t>
      </w:r>
      <w:r>
        <w:rPr>
          <w:noProof/>
          <w:lang w:val="es-ES_tradnl" w:eastAsia="en-US"/>
        </w:rPr>
        <w:t>, llegándose a la conclusión que la misma asciende al 31/12/2013 a $ 1:351.368, por lo que corresponde un ajuste de $ 402.591 disminuye</w:t>
      </w:r>
      <w:r w:rsidR="00A17A45">
        <w:rPr>
          <w:noProof/>
          <w:lang w:val="es-ES_tradnl" w:eastAsia="en-US"/>
        </w:rPr>
        <w:t>ndo el superávit del ejercicio.</w:t>
      </w:r>
    </w:p>
    <w:p w:rsidR="00852D39" w:rsidRPr="00A17A45" w:rsidRDefault="00852D39" w:rsidP="00852D39">
      <w:pPr>
        <w:rPr>
          <w:lang w:val="es-ES_tradnl"/>
        </w:rPr>
      </w:pPr>
      <w:bookmarkStart w:id="9" w:name="_Toc344371123"/>
      <w:bookmarkStart w:id="10" w:name="_Toc272968711"/>
    </w:p>
    <w:bookmarkEnd w:id="9"/>
    <w:p w:rsidR="00852D39" w:rsidRPr="00E436D2" w:rsidRDefault="00852D39" w:rsidP="00852D39">
      <w:pPr>
        <w:pStyle w:val="Ttulo3"/>
        <w:spacing w:before="0" w:after="0" w:line="360" w:lineRule="auto"/>
        <w:rPr>
          <w:sz w:val="24"/>
          <w:szCs w:val="24"/>
        </w:rPr>
      </w:pPr>
      <w:r w:rsidRPr="00E436D2">
        <w:rPr>
          <w:sz w:val="24"/>
          <w:szCs w:val="24"/>
        </w:rPr>
        <w:t>3.1.</w:t>
      </w:r>
      <w:r>
        <w:rPr>
          <w:sz w:val="24"/>
          <w:szCs w:val="24"/>
        </w:rPr>
        <w:t>7</w:t>
      </w:r>
      <w:r w:rsidRPr="00E436D2">
        <w:rPr>
          <w:sz w:val="24"/>
          <w:szCs w:val="24"/>
        </w:rPr>
        <w:t xml:space="preserve"> Exposición de los ingresos</w:t>
      </w:r>
    </w:p>
    <w:p w:rsidR="00852D39" w:rsidRPr="00E436D2" w:rsidRDefault="00852D39" w:rsidP="00852D39">
      <w:pPr>
        <w:pStyle w:val="Textoindependiente"/>
        <w:tabs>
          <w:tab w:val="left" w:pos="0"/>
        </w:tabs>
        <w:spacing w:after="0" w:line="360" w:lineRule="auto"/>
        <w:rPr>
          <w:rFonts w:cs="Arial"/>
          <w:lang w:val="es-ES"/>
        </w:rPr>
      </w:pPr>
      <w:r w:rsidRPr="00E436D2">
        <w:rPr>
          <w:rFonts w:cs="Arial"/>
          <w:lang w:val="es-ES"/>
        </w:rPr>
        <w:t xml:space="preserve">En el cuadro de Ejecución del Presupuesto con Relación a los </w:t>
      </w:r>
      <w:r>
        <w:rPr>
          <w:rFonts w:cs="Arial"/>
          <w:lang w:val="es-ES"/>
        </w:rPr>
        <w:t>R</w:t>
      </w:r>
      <w:r w:rsidRPr="00E436D2">
        <w:rPr>
          <w:rFonts w:cs="Arial"/>
          <w:lang w:val="es-ES"/>
        </w:rPr>
        <w:t xml:space="preserve">ecursos, en el </w:t>
      </w:r>
      <w:r>
        <w:rPr>
          <w:rFonts w:cs="Arial"/>
          <w:lang w:val="es-ES"/>
        </w:rPr>
        <w:t>t</w:t>
      </w:r>
      <w:r w:rsidRPr="00E436D2">
        <w:rPr>
          <w:rFonts w:cs="Arial"/>
          <w:spacing w:val="16"/>
          <w:lang w:val="es-ES"/>
        </w:rPr>
        <w:t xml:space="preserve">otal </w:t>
      </w:r>
      <w:r>
        <w:rPr>
          <w:rFonts w:cs="Arial"/>
          <w:spacing w:val="16"/>
          <w:lang w:val="es-ES"/>
        </w:rPr>
        <w:t>g</w:t>
      </w:r>
      <w:r w:rsidRPr="00E436D2">
        <w:rPr>
          <w:rFonts w:cs="Arial"/>
          <w:spacing w:val="16"/>
          <w:lang w:val="es-ES"/>
        </w:rPr>
        <w:t>eneral de la columna “Recaudado 2013” se expone un importe de $</w:t>
      </w:r>
      <w:r w:rsidRPr="00E436D2">
        <w:rPr>
          <w:rFonts w:cs="Arial"/>
          <w:lang w:val="es-ES"/>
        </w:rPr>
        <w:t xml:space="preserve"> 811:763.038</w:t>
      </w:r>
      <w:r>
        <w:rPr>
          <w:rFonts w:cs="Arial"/>
          <w:lang w:val="es-ES"/>
        </w:rPr>
        <w:t>,</w:t>
      </w:r>
      <w:r w:rsidRPr="00E436D2">
        <w:rPr>
          <w:rFonts w:cs="Arial"/>
          <w:lang w:val="es-ES"/>
        </w:rPr>
        <w:t xml:space="preserve"> cuando </w:t>
      </w:r>
      <w:r>
        <w:rPr>
          <w:rFonts w:cs="Arial"/>
          <w:lang w:val="es-ES"/>
        </w:rPr>
        <w:t>el importe</w:t>
      </w:r>
      <w:r w:rsidRPr="00E436D2">
        <w:rPr>
          <w:rFonts w:cs="Arial"/>
          <w:lang w:val="es-ES"/>
        </w:rPr>
        <w:t xml:space="preserve"> correcto es $ 813:587.887.</w:t>
      </w:r>
    </w:p>
    <w:p w:rsidR="00852D39" w:rsidRDefault="00852D39" w:rsidP="00852D39">
      <w:pPr>
        <w:tabs>
          <w:tab w:val="left" w:pos="0"/>
        </w:tabs>
        <w:spacing w:line="360" w:lineRule="auto"/>
        <w:jc w:val="both"/>
        <w:rPr>
          <w:rFonts w:cs="Arial"/>
        </w:rPr>
      </w:pPr>
    </w:p>
    <w:bookmarkEnd w:id="7"/>
    <w:bookmarkEnd w:id="10"/>
    <w:p w:rsidR="00852D39" w:rsidRDefault="00852D39" w:rsidP="00852D39">
      <w:pPr>
        <w:pStyle w:val="Ttulo3"/>
        <w:spacing w:before="0" w:after="0" w:line="360" w:lineRule="auto"/>
        <w:rPr>
          <w:sz w:val="24"/>
          <w:szCs w:val="24"/>
        </w:rPr>
      </w:pPr>
      <w:r>
        <w:rPr>
          <w:sz w:val="24"/>
          <w:szCs w:val="24"/>
        </w:rPr>
        <w:t>3.1.8 Juicios pendientes</w:t>
      </w:r>
    </w:p>
    <w:p w:rsidR="00852D39" w:rsidRDefault="00852D39" w:rsidP="00852D39">
      <w:pPr>
        <w:spacing w:line="360" w:lineRule="auto"/>
        <w:jc w:val="both"/>
        <w:rPr>
          <w:rFonts w:cs="Arial"/>
        </w:rPr>
      </w:pPr>
      <w:r>
        <w:rPr>
          <w:rFonts w:cs="Arial"/>
        </w:rPr>
        <w:t>Se incluye informe del Departamento Jurídico de la Intendencia, con los juicios promovidos contra la misma y el estado en que se encuentran, así como los montos reclamados, los que ascienden a U$S 547.035, $ 5:067.519, y              UR 34.825, lo que podría incidir en el déficit acumulado por las posibles erogaciones que puedan resultar.</w:t>
      </w:r>
    </w:p>
    <w:p w:rsidR="00A17A45" w:rsidRDefault="00A17A45" w:rsidP="00852D39">
      <w:pPr>
        <w:spacing w:line="360" w:lineRule="auto"/>
        <w:jc w:val="both"/>
        <w:rPr>
          <w:rFonts w:cs="Arial"/>
        </w:rPr>
      </w:pPr>
    </w:p>
    <w:p w:rsidR="00852D39" w:rsidRPr="00D5051C" w:rsidRDefault="00852D39" w:rsidP="00852D39">
      <w:pPr>
        <w:pStyle w:val="Ttulo3"/>
        <w:spacing w:before="0" w:after="0" w:line="360" w:lineRule="auto"/>
        <w:rPr>
          <w:sz w:val="24"/>
          <w:szCs w:val="24"/>
        </w:rPr>
      </w:pPr>
      <w:r w:rsidRPr="00D5051C">
        <w:rPr>
          <w:sz w:val="24"/>
          <w:szCs w:val="24"/>
        </w:rPr>
        <w:t>3.1.</w:t>
      </w:r>
      <w:r>
        <w:rPr>
          <w:sz w:val="24"/>
          <w:szCs w:val="24"/>
        </w:rPr>
        <w:t>9</w:t>
      </w:r>
      <w:r w:rsidRPr="00D5051C">
        <w:rPr>
          <w:sz w:val="24"/>
          <w:szCs w:val="24"/>
        </w:rPr>
        <w:t xml:space="preserve"> Saldos de las cuentas </w:t>
      </w:r>
      <w:r>
        <w:rPr>
          <w:sz w:val="24"/>
          <w:szCs w:val="24"/>
        </w:rPr>
        <w:t>UTE, OSE y ANTEL</w:t>
      </w:r>
    </w:p>
    <w:p w:rsidR="00852D39" w:rsidRDefault="00852D39" w:rsidP="00852D39">
      <w:pPr>
        <w:pStyle w:val="ecmsonormal"/>
        <w:spacing w:before="0" w:beforeAutospacing="0" w:after="0" w:afterAutospacing="0" w:line="360" w:lineRule="auto"/>
        <w:jc w:val="both"/>
        <w:rPr>
          <w:rFonts w:ascii="Arial" w:hAnsi="Arial" w:cs="Arial"/>
        </w:rPr>
      </w:pPr>
      <w:r w:rsidRPr="00D5051C">
        <w:rPr>
          <w:rFonts w:ascii="Arial" w:hAnsi="Arial" w:cs="Arial"/>
        </w:rPr>
        <w:t xml:space="preserve">Los saldos de las cuentas </w:t>
      </w:r>
      <w:r>
        <w:rPr>
          <w:rFonts w:ascii="Arial" w:hAnsi="Arial" w:cs="Arial"/>
        </w:rPr>
        <w:t>UTE</w:t>
      </w:r>
      <w:r w:rsidRPr="00D5051C">
        <w:rPr>
          <w:rFonts w:ascii="Arial" w:hAnsi="Arial" w:cs="Arial"/>
        </w:rPr>
        <w:t xml:space="preserve">, </w:t>
      </w:r>
      <w:r>
        <w:rPr>
          <w:rFonts w:ascii="Arial" w:hAnsi="Arial" w:cs="Arial"/>
        </w:rPr>
        <w:t>OSE</w:t>
      </w:r>
      <w:r w:rsidRPr="00D5051C">
        <w:rPr>
          <w:rFonts w:ascii="Arial" w:hAnsi="Arial" w:cs="Arial"/>
        </w:rPr>
        <w:t xml:space="preserve"> y </w:t>
      </w:r>
      <w:r>
        <w:rPr>
          <w:rFonts w:ascii="Arial" w:hAnsi="Arial" w:cs="Arial"/>
        </w:rPr>
        <w:t>ANTEL</w:t>
      </w:r>
      <w:r w:rsidRPr="00D5051C">
        <w:rPr>
          <w:rFonts w:ascii="Arial" w:hAnsi="Arial" w:cs="Arial"/>
        </w:rPr>
        <w:t xml:space="preserve"> no son proporcionados en forma directa por el sistema contable, por lo que debe</w:t>
      </w:r>
      <w:r>
        <w:rPr>
          <w:rFonts w:ascii="Arial" w:hAnsi="Arial" w:cs="Arial"/>
        </w:rPr>
        <w:t>n</w:t>
      </w:r>
      <w:r w:rsidRPr="00D5051C">
        <w:rPr>
          <w:rFonts w:ascii="Arial" w:hAnsi="Arial" w:cs="Arial"/>
        </w:rPr>
        <w:t xml:space="preserve"> consultarse registros extracontables para conciliar y determinar el saldo final de </w:t>
      </w:r>
      <w:r>
        <w:rPr>
          <w:rFonts w:ascii="Arial" w:hAnsi="Arial" w:cs="Arial"/>
        </w:rPr>
        <w:t>las mismas</w:t>
      </w:r>
      <w:r w:rsidRPr="00D5051C">
        <w:rPr>
          <w:rFonts w:ascii="Arial" w:hAnsi="Arial" w:cs="Arial"/>
        </w:rPr>
        <w:t>.</w:t>
      </w:r>
    </w:p>
    <w:p w:rsidR="00852D39" w:rsidRDefault="00852D39" w:rsidP="00852D39">
      <w:pPr>
        <w:spacing w:line="360" w:lineRule="auto"/>
        <w:rPr>
          <w:rFonts w:cs="Arial"/>
        </w:rPr>
      </w:pPr>
    </w:p>
    <w:p w:rsidR="00852D39" w:rsidRDefault="00852D39" w:rsidP="00852D39">
      <w:pPr>
        <w:pStyle w:val="Ttulo3"/>
        <w:spacing w:before="0" w:after="0" w:line="360" w:lineRule="auto"/>
        <w:rPr>
          <w:sz w:val="24"/>
          <w:szCs w:val="24"/>
        </w:rPr>
      </w:pPr>
      <w:r>
        <w:t>3.1.10 Resultado del ejercicio y resultado acumulado al</w:t>
      </w:r>
      <w:r>
        <w:rPr>
          <w:b w:val="0"/>
        </w:rPr>
        <w:t xml:space="preserve"> </w:t>
      </w:r>
      <w:r>
        <w:rPr>
          <w:sz w:val="24"/>
          <w:szCs w:val="24"/>
        </w:rPr>
        <w:t>31/12/2013</w:t>
      </w:r>
    </w:p>
    <w:p w:rsidR="00852D39" w:rsidRDefault="00852D39" w:rsidP="00852D39">
      <w:pPr>
        <w:spacing w:line="360" w:lineRule="auto"/>
        <w:jc w:val="both"/>
        <w:rPr>
          <w:rFonts w:cs="Arial"/>
          <w:color w:val="000000"/>
          <w:lang w:eastAsia="ar-SA"/>
        </w:rPr>
      </w:pPr>
      <w:r w:rsidRPr="00AE6A60">
        <w:rPr>
          <w:rFonts w:cs="Arial"/>
        </w:rPr>
        <w:t>Por lo expresado en los párrafos anteriores, el resultado del ejercicio ajustado</w:t>
      </w:r>
      <w:r>
        <w:rPr>
          <w:rFonts w:cs="Arial"/>
        </w:rPr>
        <w:t xml:space="preserve"> </w:t>
      </w:r>
      <w:r w:rsidRPr="00AE6A60">
        <w:rPr>
          <w:rFonts w:cs="Arial"/>
        </w:rPr>
        <w:t>asciende a $</w:t>
      </w:r>
      <w:r>
        <w:rPr>
          <w:rFonts w:cs="Arial"/>
        </w:rPr>
        <w:t xml:space="preserve"> 45</w:t>
      </w:r>
      <w:r w:rsidRPr="00F1472C">
        <w:rPr>
          <w:rFonts w:cs="Arial"/>
        </w:rPr>
        <w:t>:</w:t>
      </w:r>
      <w:r>
        <w:rPr>
          <w:rFonts w:cs="Arial"/>
        </w:rPr>
        <w:t xml:space="preserve">101.230 </w:t>
      </w:r>
      <w:r w:rsidRPr="00AE6A60">
        <w:rPr>
          <w:rFonts w:cs="Arial"/>
        </w:rPr>
        <w:t xml:space="preserve">de </w:t>
      </w:r>
      <w:r>
        <w:rPr>
          <w:rFonts w:cs="Arial"/>
        </w:rPr>
        <w:t>superávit</w:t>
      </w:r>
      <w:r w:rsidRPr="00AE6A60">
        <w:rPr>
          <w:rFonts w:cs="Arial"/>
        </w:rPr>
        <w:t>, y el resultado acumulado ajustado al</w:t>
      </w:r>
      <w:r>
        <w:rPr>
          <w:rFonts w:cs="Arial"/>
        </w:rPr>
        <w:t xml:space="preserve"> </w:t>
      </w:r>
      <w:r w:rsidRPr="00AE6A60">
        <w:rPr>
          <w:rFonts w:cs="Arial"/>
        </w:rPr>
        <w:t>31/12/2013 a $</w:t>
      </w:r>
      <w:r>
        <w:rPr>
          <w:rFonts w:cs="Arial"/>
        </w:rPr>
        <w:t xml:space="preserve"> 154</w:t>
      </w:r>
      <w:r w:rsidRPr="00F1472C">
        <w:rPr>
          <w:rFonts w:cs="Arial"/>
        </w:rPr>
        <w:t>:</w:t>
      </w:r>
      <w:r>
        <w:rPr>
          <w:rFonts w:cs="Arial"/>
        </w:rPr>
        <w:t>930</w:t>
      </w:r>
      <w:r w:rsidRPr="00F1472C">
        <w:rPr>
          <w:rFonts w:cs="Arial"/>
        </w:rPr>
        <w:t>.</w:t>
      </w:r>
      <w:r>
        <w:rPr>
          <w:rFonts w:cs="Arial"/>
        </w:rPr>
        <w:t xml:space="preserve">529 </w:t>
      </w:r>
      <w:r w:rsidRPr="00AE6A60">
        <w:rPr>
          <w:rFonts w:cs="Arial"/>
        </w:rPr>
        <w:t>de déficit</w:t>
      </w:r>
      <w:r>
        <w:rPr>
          <w:rFonts w:cs="Arial"/>
        </w:rPr>
        <w:t xml:space="preserve">, </w:t>
      </w:r>
      <w:r>
        <w:rPr>
          <w:rFonts w:cs="Arial"/>
          <w:color w:val="000000"/>
          <w:lang w:eastAsia="ar-SA"/>
        </w:rPr>
        <w:t>según el siguiente detalle:</w:t>
      </w:r>
    </w:p>
    <w:tbl>
      <w:tblPr>
        <w:tblW w:w="9520" w:type="dxa"/>
        <w:tblInd w:w="55" w:type="dxa"/>
        <w:tblCellMar>
          <w:left w:w="70" w:type="dxa"/>
          <w:right w:w="70" w:type="dxa"/>
        </w:tblCellMar>
        <w:tblLook w:val="04A0" w:firstRow="1" w:lastRow="0" w:firstColumn="1" w:lastColumn="0" w:noHBand="0" w:noVBand="1"/>
      </w:tblPr>
      <w:tblGrid>
        <w:gridCol w:w="8035"/>
        <w:gridCol w:w="1560"/>
      </w:tblGrid>
      <w:tr w:rsidR="00852D39" w:rsidRPr="006067B2" w:rsidTr="00852D39">
        <w:trPr>
          <w:trHeight w:val="315"/>
        </w:trPr>
        <w:tc>
          <w:tcPr>
            <w:tcW w:w="7960" w:type="dxa"/>
            <w:tcBorders>
              <w:top w:val="nil"/>
              <w:left w:val="nil"/>
              <w:bottom w:val="nil"/>
              <w:right w:val="nil"/>
            </w:tcBorders>
            <w:shd w:val="clear" w:color="auto" w:fill="auto"/>
            <w:noWrap/>
            <w:vAlign w:val="bottom"/>
            <w:hideMark/>
          </w:tcPr>
          <w:p w:rsidR="00852D39" w:rsidRDefault="00852D39" w:rsidP="00852D39">
            <w:pPr>
              <w:rPr>
                <w:rFonts w:cs="Arial"/>
                <w:color w:val="000000"/>
                <w:lang w:val="es-UY" w:eastAsia="es-UY"/>
              </w:rPr>
            </w:pPr>
          </w:p>
          <w:p w:rsidR="00852D39" w:rsidRDefault="00852D39" w:rsidP="00852D39">
            <w:pPr>
              <w:rPr>
                <w:rFonts w:cs="Arial"/>
                <w:color w:val="000000"/>
                <w:lang w:val="es-UY" w:eastAsia="es-UY"/>
              </w:rPr>
            </w:pPr>
          </w:p>
          <w:tbl>
            <w:tblPr>
              <w:tblW w:w="7883" w:type="dxa"/>
              <w:tblCellMar>
                <w:left w:w="70" w:type="dxa"/>
                <w:right w:w="70" w:type="dxa"/>
              </w:tblCellMar>
              <w:tblLook w:val="04A0" w:firstRow="1" w:lastRow="0" w:firstColumn="1" w:lastColumn="0" w:noHBand="0" w:noVBand="1"/>
            </w:tblPr>
            <w:tblGrid>
              <w:gridCol w:w="5996"/>
              <w:gridCol w:w="264"/>
              <w:gridCol w:w="1635"/>
            </w:tblGrid>
            <w:tr w:rsidR="00852D39" w:rsidRPr="006067B2" w:rsidTr="00852D39">
              <w:trPr>
                <w:trHeight w:val="315"/>
              </w:trPr>
              <w:tc>
                <w:tcPr>
                  <w:tcW w:w="6260" w:type="dxa"/>
                  <w:gridSpan w:val="2"/>
                  <w:tcBorders>
                    <w:top w:val="nil"/>
                    <w:left w:val="nil"/>
                    <w:bottom w:val="nil"/>
                    <w:right w:val="nil"/>
                  </w:tcBorders>
                  <w:shd w:val="clear" w:color="auto" w:fill="auto"/>
                  <w:noWrap/>
                  <w:vAlign w:val="bottom"/>
                  <w:hideMark/>
                </w:tcPr>
                <w:p w:rsidR="00852D39" w:rsidRPr="006067B2" w:rsidRDefault="00852D39" w:rsidP="00852D39">
                  <w:pPr>
                    <w:rPr>
                      <w:rFonts w:cs="Arial"/>
                      <w:color w:val="000000"/>
                      <w:lang w:val="es-UY" w:eastAsia="es-UY"/>
                    </w:rPr>
                  </w:pPr>
                  <w:r w:rsidRPr="006067B2">
                    <w:rPr>
                      <w:rFonts w:cs="Arial"/>
                      <w:color w:val="000000"/>
                      <w:lang w:val="es-UY" w:eastAsia="es-UY"/>
                    </w:rPr>
                    <w:t>Resultado del ejercicio expuesto por la Intendencia</w:t>
                  </w:r>
                </w:p>
              </w:tc>
              <w:tc>
                <w:tcPr>
                  <w:tcW w:w="1623" w:type="dxa"/>
                  <w:tcBorders>
                    <w:top w:val="nil"/>
                    <w:left w:val="nil"/>
                    <w:bottom w:val="nil"/>
                    <w:right w:val="nil"/>
                  </w:tcBorders>
                  <w:shd w:val="clear" w:color="auto" w:fill="auto"/>
                  <w:noWrap/>
                  <w:vAlign w:val="bottom"/>
                  <w:hideMark/>
                </w:tcPr>
                <w:p w:rsidR="00852D39" w:rsidRPr="006067B2" w:rsidRDefault="00852D39" w:rsidP="00852D39">
                  <w:pPr>
                    <w:jc w:val="right"/>
                    <w:rPr>
                      <w:rFonts w:cs="Arial"/>
                      <w:color w:val="000000"/>
                      <w:lang w:val="es-UY" w:eastAsia="es-UY"/>
                    </w:rPr>
                  </w:pPr>
                  <w:r>
                    <w:rPr>
                      <w:rFonts w:cs="Arial"/>
                      <w:color w:val="000000"/>
                      <w:lang w:val="es-UY" w:eastAsia="es-UY"/>
                    </w:rPr>
                    <w:t>52:977.824</w:t>
                  </w:r>
                </w:p>
              </w:tc>
            </w:tr>
            <w:tr w:rsidR="00852D39" w:rsidRPr="006067B2" w:rsidTr="00852D39">
              <w:trPr>
                <w:trHeight w:val="315"/>
              </w:trPr>
              <w:tc>
                <w:tcPr>
                  <w:tcW w:w="5996" w:type="dxa"/>
                  <w:tcBorders>
                    <w:top w:val="nil"/>
                    <w:left w:val="nil"/>
                    <w:bottom w:val="nil"/>
                    <w:right w:val="nil"/>
                  </w:tcBorders>
                  <w:shd w:val="clear" w:color="auto" w:fill="auto"/>
                  <w:noWrap/>
                  <w:vAlign w:val="bottom"/>
                  <w:hideMark/>
                </w:tcPr>
                <w:p w:rsidR="00852D39" w:rsidRPr="006067B2" w:rsidRDefault="00852D39" w:rsidP="00852D39">
                  <w:pPr>
                    <w:rPr>
                      <w:rFonts w:cs="Arial"/>
                      <w:color w:val="000000"/>
                      <w:lang w:val="es-UY" w:eastAsia="es-UY"/>
                    </w:rPr>
                  </w:pPr>
                  <w:r w:rsidRPr="006067B2">
                    <w:rPr>
                      <w:rFonts w:cs="Arial"/>
                      <w:color w:val="000000"/>
                      <w:lang w:val="es-UY" w:eastAsia="es-UY"/>
                    </w:rPr>
                    <w:t>Ajustes</w:t>
                  </w:r>
                </w:p>
              </w:tc>
              <w:tc>
                <w:tcPr>
                  <w:tcW w:w="264" w:type="dxa"/>
                  <w:tcBorders>
                    <w:top w:val="nil"/>
                    <w:left w:val="nil"/>
                    <w:bottom w:val="nil"/>
                    <w:right w:val="nil"/>
                  </w:tcBorders>
                  <w:shd w:val="clear" w:color="auto" w:fill="auto"/>
                  <w:noWrap/>
                  <w:vAlign w:val="bottom"/>
                  <w:hideMark/>
                </w:tcPr>
                <w:p w:rsidR="00852D39" w:rsidRPr="006067B2" w:rsidRDefault="00852D39" w:rsidP="00852D39">
                  <w:pPr>
                    <w:rPr>
                      <w:rFonts w:cs="Arial"/>
                      <w:color w:val="000000"/>
                      <w:lang w:val="es-UY" w:eastAsia="es-UY"/>
                    </w:rPr>
                  </w:pPr>
                </w:p>
              </w:tc>
              <w:tc>
                <w:tcPr>
                  <w:tcW w:w="1623" w:type="dxa"/>
                  <w:tcBorders>
                    <w:top w:val="nil"/>
                    <w:left w:val="nil"/>
                    <w:bottom w:val="nil"/>
                    <w:right w:val="nil"/>
                  </w:tcBorders>
                  <w:shd w:val="clear" w:color="auto" w:fill="auto"/>
                  <w:noWrap/>
                  <w:vAlign w:val="bottom"/>
                  <w:hideMark/>
                </w:tcPr>
                <w:p w:rsidR="00852D39" w:rsidRPr="006067B2" w:rsidRDefault="00852D39" w:rsidP="00852D39">
                  <w:pPr>
                    <w:rPr>
                      <w:rFonts w:cs="Arial"/>
                      <w:color w:val="000000"/>
                      <w:lang w:val="es-UY" w:eastAsia="es-UY"/>
                    </w:rPr>
                  </w:pPr>
                </w:p>
              </w:tc>
            </w:tr>
            <w:tr w:rsidR="00852D39" w:rsidRPr="006067B2" w:rsidTr="00852D39">
              <w:trPr>
                <w:trHeight w:val="315"/>
              </w:trPr>
              <w:tc>
                <w:tcPr>
                  <w:tcW w:w="6260" w:type="dxa"/>
                  <w:gridSpan w:val="2"/>
                  <w:tcBorders>
                    <w:top w:val="nil"/>
                    <w:left w:val="nil"/>
                    <w:bottom w:val="nil"/>
                    <w:right w:val="nil"/>
                  </w:tcBorders>
                  <w:shd w:val="clear" w:color="auto" w:fill="auto"/>
                  <w:noWrap/>
                  <w:vAlign w:val="bottom"/>
                  <w:hideMark/>
                </w:tcPr>
                <w:p w:rsidR="00852D39" w:rsidRPr="006067B2" w:rsidRDefault="00852D39" w:rsidP="00852D39">
                  <w:pPr>
                    <w:rPr>
                      <w:rFonts w:cs="Arial"/>
                      <w:color w:val="000000"/>
                      <w:lang w:val="es-UY" w:eastAsia="es-UY"/>
                    </w:rPr>
                  </w:pPr>
                  <w:r>
                    <w:rPr>
                      <w:rFonts w:cs="Arial"/>
                      <w:color w:val="000000"/>
                      <w:lang w:val="es-UY" w:eastAsia="es-UY"/>
                    </w:rPr>
                    <w:t>Saldos de caja</w:t>
                  </w:r>
                </w:p>
              </w:tc>
              <w:tc>
                <w:tcPr>
                  <w:tcW w:w="1623" w:type="dxa"/>
                  <w:tcBorders>
                    <w:top w:val="nil"/>
                    <w:left w:val="nil"/>
                    <w:bottom w:val="nil"/>
                    <w:right w:val="nil"/>
                  </w:tcBorders>
                  <w:shd w:val="clear" w:color="auto" w:fill="auto"/>
                  <w:noWrap/>
                  <w:vAlign w:val="bottom"/>
                  <w:hideMark/>
                </w:tcPr>
                <w:p w:rsidR="00852D39" w:rsidRPr="006067B2" w:rsidRDefault="00852D39" w:rsidP="00852D39">
                  <w:pPr>
                    <w:jc w:val="right"/>
                    <w:rPr>
                      <w:rFonts w:cs="Arial"/>
                      <w:color w:val="000000"/>
                      <w:lang w:val="es-UY" w:eastAsia="es-UY"/>
                    </w:rPr>
                  </w:pPr>
                  <w:r>
                    <w:rPr>
                      <w:rFonts w:cs="Arial"/>
                      <w:color w:val="000000"/>
                      <w:lang w:val="es-UY" w:eastAsia="es-UY"/>
                    </w:rPr>
                    <w:t>(87</w:t>
                  </w:r>
                  <w:r w:rsidRPr="006067B2">
                    <w:rPr>
                      <w:rFonts w:cs="Arial"/>
                      <w:color w:val="000000"/>
                      <w:lang w:val="es-UY" w:eastAsia="es-UY"/>
                    </w:rPr>
                    <w:t>.</w:t>
                  </w:r>
                  <w:r>
                    <w:rPr>
                      <w:rFonts w:cs="Arial"/>
                      <w:color w:val="000000"/>
                      <w:lang w:val="es-UY" w:eastAsia="es-UY"/>
                    </w:rPr>
                    <w:t>847</w:t>
                  </w:r>
                  <w:r w:rsidRPr="006067B2">
                    <w:rPr>
                      <w:rFonts w:cs="Arial"/>
                      <w:color w:val="000000"/>
                      <w:lang w:val="es-UY" w:eastAsia="es-UY"/>
                    </w:rPr>
                    <w:t>)</w:t>
                  </w:r>
                </w:p>
              </w:tc>
            </w:tr>
            <w:tr w:rsidR="00852D39" w:rsidRPr="006067B2" w:rsidTr="00852D39">
              <w:trPr>
                <w:trHeight w:val="315"/>
              </w:trPr>
              <w:tc>
                <w:tcPr>
                  <w:tcW w:w="6260" w:type="dxa"/>
                  <w:gridSpan w:val="2"/>
                  <w:tcBorders>
                    <w:top w:val="nil"/>
                    <w:left w:val="nil"/>
                    <w:bottom w:val="nil"/>
                    <w:right w:val="nil"/>
                  </w:tcBorders>
                  <w:shd w:val="clear" w:color="auto" w:fill="auto"/>
                  <w:noWrap/>
                  <w:vAlign w:val="bottom"/>
                  <w:hideMark/>
                </w:tcPr>
                <w:p w:rsidR="00852D39" w:rsidRPr="006067B2" w:rsidRDefault="00852D39" w:rsidP="00852D39">
                  <w:pPr>
                    <w:rPr>
                      <w:rFonts w:cs="Arial"/>
                      <w:color w:val="000000"/>
                      <w:lang w:val="es-UY" w:eastAsia="es-UY"/>
                    </w:rPr>
                  </w:pPr>
                  <w:r>
                    <w:rPr>
                      <w:rFonts w:cs="Arial"/>
                      <w:color w:val="000000"/>
                      <w:lang w:val="es-UY" w:eastAsia="es-UY"/>
                    </w:rPr>
                    <w:t>Gastos bancarios no contabilizados</w:t>
                  </w:r>
                </w:p>
              </w:tc>
              <w:tc>
                <w:tcPr>
                  <w:tcW w:w="1623" w:type="dxa"/>
                  <w:tcBorders>
                    <w:top w:val="nil"/>
                    <w:left w:val="nil"/>
                    <w:bottom w:val="nil"/>
                    <w:right w:val="nil"/>
                  </w:tcBorders>
                  <w:shd w:val="clear" w:color="auto" w:fill="auto"/>
                  <w:noWrap/>
                  <w:vAlign w:val="bottom"/>
                  <w:hideMark/>
                </w:tcPr>
                <w:p w:rsidR="00852D39" w:rsidRPr="006067B2" w:rsidRDefault="00852D39" w:rsidP="00852D39">
                  <w:pPr>
                    <w:jc w:val="right"/>
                    <w:rPr>
                      <w:rFonts w:cs="Arial"/>
                      <w:color w:val="000000"/>
                      <w:lang w:val="es-UY" w:eastAsia="es-UY"/>
                    </w:rPr>
                  </w:pPr>
                  <w:r>
                    <w:rPr>
                      <w:rFonts w:cs="Arial"/>
                      <w:color w:val="000000"/>
                      <w:lang w:val="es-UY" w:eastAsia="es-UY"/>
                    </w:rPr>
                    <w:t>(197.808)</w:t>
                  </w:r>
                  <w:r w:rsidRPr="006067B2">
                    <w:rPr>
                      <w:rFonts w:cs="Arial"/>
                      <w:color w:val="000000"/>
                      <w:lang w:val="es-UY" w:eastAsia="es-UY"/>
                    </w:rPr>
                    <w:t xml:space="preserve"> </w:t>
                  </w:r>
                </w:p>
              </w:tc>
            </w:tr>
            <w:tr w:rsidR="00852D39" w:rsidRPr="006067B2" w:rsidTr="00852D39">
              <w:trPr>
                <w:trHeight w:val="315"/>
              </w:trPr>
              <w:tc>
                <w:tcPr>
                  <w:tcW w:w="6260" w:type="dxa"/>
                  <w:gridSpan w:val="2"/>
                  <w:tcBorders>
                    <w:top w:val="nil"/>
                    <w:left w:val="nil"/>
                    <w:bottom w:val="nil"/>
                    <w:right w:val="nil"/>
                  </w:tcBorders>
                  <w:shd w:val="clear" w:color="auto" w:fill="auto"/>
                  <w:noWrap/>
                  <w:vAlign w:val="bottom"/>
                </w:tcPr>
                <w:p w:rsidR="00852D39" w:rsidRPr="006067B2" w:rsidRDefault="00852D39" w:rsidP="00852D39">
                  <w:pPr>
                    <w:rPr>
                      <w:rFonts w:cs="Arial"/>
                      <w:color w:val="000000"/>
                      <w:lang w:val="es-UY" w:eastAsia="es-UY"/>
                    </w:rPr>
                  </w:pPr>
                </w:p>
              </w:tc>
              <w:tc>
                <w:tcPr>
                  <w:tcW w:w="1623" w:type="dxa"/>
                  <w:tcBorders>
                    <w:top w:val="nil"/>
                    <w:left w:val="nil"/>
                    <w:right w:val="nil"/>
                  </w:tcBorders>
                  <w:shd w:val="clear" w:color="auto" w:fill="auto"/>
                  <w:noWrap/>
                  <w:vAlign w:val="bottom"/>
                  <w:hideMark/>
                </w:tcPr>
                <w:p w:rsidR="00852D39" w:rsidRPr="006067B2" w:rsidRDefault="00852D39" w:rsidP="00852D39">
                  <w:pPr>
                    <w:jc w:val="right"/>
                    <w:rPr>
                      <w:rFonts w:cs="Arial"/>
                      <w:color w:val="000000"/>
                      <w:lang w:val="es-UY" w:eastAsia="es-UY"/>
                    </w:rPr>
                  </w:pPr>
                </w:p>
              </w:tc>
            </w:tr>
            <w:tr w:rsidR="00852D39" w:rsidRPr="006067B2" w:rsidTr="00852D39">
              <w:trPr>
                <w:trHeight w:val="330"/>
              </w:trPr>
              <w:tc>
                <w:tcPr>
                  <w:tcW w:w="6260" w:type="dxa"/>
                  <w:gridSpan w:val="2"/>
                  <w:tcBorders>
                    <w:top w:val="nil"/>
                    <w:left w:val="nil"/>
                    <w:bottom w:val="nil"/>
                    <w:right w:val="nil"/>
                  </w:tcBorders>
                  <w:shd w:val="clear" w:color="auto" w:fill="auto"/>
                  <w:noWrap/>
                  <w:vAlign w:val="bottom"/>
                </w:tcPr>
                <w:p w:rsidR="00852D39" w:rsidRPr="006067B2" w:rsidRDefault="00852D39" w:rsidP="00852D39">
                  <w:pPr>
                    <w:rPr>
                      <w:rFonts w:cs="Arial"/>
                      <w:color w:val="000000"/>
                      <w:lang w:val="es-UY" w:eastAsia="es-UY"/>
                    </w:rPr>
                  </w:pPr>
                  <w:r>
                    <w:rPr>
                      <w:rFonts w:cs="Arial"/>
                      <w:color w:val="000000"/>
                      <w:lang w:val="es-UY" w:eastAsia="es-UY"/>
                    </w:rPr>
                    <w:t>Deuda con BROU</w:t>
                  </w:r>
                </w:p>
              </w:tc>
              <w:tc>
                <w:tcPr>
                  <w:tcW w:w="1623" w:type="dxa"/>
                  <w:tcBorders>
                    <w:top w:val="nil"/>
                    <w:left w:val="nil"/>
                    <w:right w:val="nil"/>
                  </w:tcBorders>
                  <w:shd w:val="clear" w:color="auto" w:fill="auto"/>
                  <w:noWrap/>
                  <w:vAlign w:val="bottom"/>
                </w:tcPr>
                <w:p w:rsidR="00852D39" w:rsidRPr="00180640" w:rsidRDefault="00852D39" w:rsidP="00852D39">
                  <w:pPr>
                    <w:jc w:val="right"/>
                    <w:rPr>
                      <w:rFonts w:cs="Arial"/>
                      <w:color w:val="000000"/>
                      <w:lang w:val="es-UY" w:eastAsia="es-UY"/>
                    </w:rPr>
                  </w:pPr>
                  <w:r w:rsidRPr="00180640">
                    <w:rPr>
                      <w:rFonts w:cs="Arial"/>
                      <w:color w:val="000000"/>
                      <w:lang w:val="es-UY" w:eastAsia="es-UY"/>
                    </w:rPr>
                    <w:t>(599.534)</w:t>
                  </w:r>
                </w:p>
              </w:tc>
            </w:tr>
            <w:tr w:rsidR="00852D39" w:rsidRPr="006067B2" w:rsidTr="00852D39">
              <w:trPr>
                <w:trHeight w:val="330"/>
              </w:trPr>
              <w:tc>
                <w:tcPr>
                  <w:tcW w:w="6260" w:type="dxa"/>
                  <w:gridSpan w:val="2"/>
                  <w:tcBorders>
                    <w:top w:val="nil"/>
                    <w:left w:val="nil"/>
                    <w:bottom w:val="nil"/>
                    <w:right w:val="nil"/>
                  </w:tcBorders>
                  <w:shd w:val="clear" w:color="auto" w:fill="auto"/>
                  <w:noWrap/>
                  <w:vAlign w:val="bottom"/>
                  <w:hideMark/>
                </w:tcPr>
                <w:p w:rsidR="00852D39" w:rsidRPr="006067B2" w:rsidRDefault="00852D39" w:rsidP="00852D39">
                  <w:pPr>
                    <w:rPr>
                      <w:rFonts w:cs="Arial"/>
                      <w:color w:val="000000"/>
                      <w:lang w:val="es-UY" w:eastAsia="es-UY"/>
                    </w:rPr>
                  </w:pPr>
                  <w:r>
                    <w:rPr>
                      <w:rFonts w:cs="Arial"/>
                      <w:color w:val="000000"/>
                      <w:lang w:val="es-UY" w:eastAsia="es-UY"/>
                    </w:rPr>
                    <w:t>Deuda con UTE (Convenio)</w:t>
                  </w:r>
                </w:p>
              </w:tc>
              <w:tc>
                <w:tcPr>
                  <w:tcW w:w="1623" w:type="dxa"/>
                  <w:tcBorders>
                    <w:left w:val="nil"/>
                    <w:right w:val="nil"/>
                  </w:tcBorders>
                  <w:shd w:val="clear" w:color="auto" w:fill="auto"/>
                  <w:noWrap/>
                  <w:vAlign w:val="bottom"/>
                  <w:hideMark/>
                </w:tcPr>
                <w:p w:rsidR="00852D39" w:rsidRPr="00180640" w:rsidRDefault="00852D39" w:rsidP="00852D39">
                  <w:pPr>
                    <w:jc w:val="right"/>
                    <w:rPr>
                      <w:rFonts w:cs="Arial"/>
                      <w:color w:val="000000"/>
                      <w:lang w:val="es-UY" w:eastAsia="es-UY"/>
                    </w:rPr>
                  </w:pPr>
                  <w:r w:rsidRPr="00180640">
                    <w:rPr>
                      <w:rFonts w:cs="Arial"/>
                      <w:color w:val="000000"/>
                      <w:lang w:val="es-UY" w:eastAsia="es-UY"/>
                    </w:rPr>
                    <w:t>(</w:t>
                  </w:r>
                  <w:r>
                    <w:rPr>
                      <w:rFonts w:cs="Arial"/>
                      <w:color w:val="000000"/>
                      <w:lang w:val="es-UY" w:eastAsia="es-UY"/>
                    </w:rPr>
                    <w:t>411</w:t>
                  </w:r>
                  <w:r w:rsidRPr="00180640">
                    <w:rPr>
                      <w:rFonts w:cs="Arial"/>
                      <w:color w:val="000000"/>
                      <w:lang w:val="es-UY" w:eastAsia="es-UY"/>
                    </w:rPr>
                    <w:t>.</w:t>
                  </w:r>
                  <w:r>
                    <w:rPr>
                      <w:rFonts w:cs="Arial"/>
                      <w:color w:val="000000"/>
                      <w:lang w:val="es-UY" w:eastAsia="es-UY"/>
                    </w:rPr>
                    <w:t>180</w:t>
                  </w:r>
                  <w:r w:rsidRPr="00180640">
                    <w:rPr>
                      <w:rFonts w:cs="Arial"/>
                      <w:color w:val="000000"/>
                      <w:lang w:val="es-UY" w:eastAsia="es-UY"/>
                    </w:rPr>
                    <w:t>)</w:t>
                  </w:r>
                </w:p>
              </w:tc>
            </w:tr>
            <w:tr w:rsidR="00852D39" w:rsidRPr="006067B2" w:rsidTr="00852D39">
              <w:trPr>
                <w:trHeight w:val="330"/>
              </w:trPr>
              <w:tc>
                <w:tcPr>
                  <w:tcW w:w="6260" w:type="dxa"/>
                  <w:gridSpan w:val="2"/>
                  <w:tcBorders>
                    <w:top w:val="nil"/>
                    <w:left w:val="nil"/>
                    <w:bottom w:val="nil"/>
                    <w:right w:val="nil"/>
                  </w:tcBorders>
                  <w:shd w:val="clear" w:color="auto" w:fill="auto"/>
                  <w:noWrap/>
                  <w:vAlign w:val="bottom"/>
                  <w:hideMark/>
                </w:tcPr>
                <w:p w:rsidR="00852D39" w:rsidRPr="006067B2" w:rsidRDefault="00852D39" w:rsidP="00852D39">
                  <w:pPr>
                    <w:rPr>
                      <w:rFonts w:cs="Arial"/>
                      <w:color w:val="000000"/>
                      <w:lang w:val="es-UY" w:eastAsia="es-UY"/>
                    </w:rPr>
                  </w:pPr>
                  <w:r>
                    <w:rPr>
                      <w:rFonts w:cs="Arial"/>
                      <w:color w:val="000000"/>
                      <w:lang w:val="es-UY" w:eastAsia="es-UY"/>
                    </w:rPr>
                    <w:t>Deuda con UTE (Cuenta Corriente)</w:t>
                  </w:r>
                </w:p>
              </w:tc>
              <w:tc>
                <w:tcPr>
                  <w:tcW w:w="1623" w:type="dxa"/>
                  <w:tcBorders>
                    <w:left w:val="nil"/>
                    <w:right w:val="nil"/>
                  </w:tcBorders>
                  <w:shd w:val="clear" w:color="auto" w:fill="auto"/>
                  <w:noWrap/>
                  <w:vAlign w:val="bottom"/>
                </w:tcPr>
                <w:p w:rsidR="00852D39" w:rsidRPr="006067B2" w:rsidRDefault="00852D39" w:rsidP="00852D39">
                  <w:pPr>
                    <w:jc w:val="right"/>
                    <w:rPr>
                      <w:rFonts w:cs="Arial"/>
                      <w:color w:val="000000"/>
                      <w:lang w:val="es-UY" w:eastAsia="es-UY"/>
                    </w:rPr>
                  </w:pPr>
                  <w:r>
                    <w:rPr>
                      <w:rFonts w:cs="Arial"/>
                      <w:color w:val="000000"/>
                      <w:lang w:val="es-UY" w:eastAsia="es-UY"/>
                    </w:rPr>
                    <w:t>(6:177.634)</w:t>
                  </w:r>
                </w:p>
              </w:tc>
            </w:tr>
            <w:tr w:rsidR="00852D39" w:rsidRPr="007A72DC" w:rsidTr="00852D39">
              <w:trPr>
                <w:trHeight w:val="315"/>
              </w:trPr>
              <w:tc>
                <w:tcPr>
                  <w:tcW w:w="5996" w:type="dxa"/>
                  <w:tcBorders>
                    <w:top w:val="nil"/>
                    <w:left w:val="nil"/>
                    <w:bottom w:val="nil"/>
                    <w:right w:val="nil"/>
                  </w:tcBorders>
                  <w:shd w:val="clear" w:color="auto" w:fill="auto"/>
                  <w:noWrap/>
                  <w:vAlign w:val="bottom"/>
                  <w:hideMark/>
                </w:tcPr>
                <w:p w:rsidR="00852D39" w:rsidRPr="006067B2" w:rsidRDefault="00852D39" w:rsidP="00852D39">
                  <w:pPr>
                    <w:rPr>
                      <w:rFonts w:cs="Arial"/>
                      <w:color w:val="000000"/>
                      <w:lang w:val="es-UY" w:eastAsia="es-UY"/>
                    </w:rPr>
                  </w:pPr>
                  <w:r>
                    <w:rPr>
                      <w:rFonts w:cs="Arial"/>
                      <w:color w:val="000000"/>
                      <w:lang w:val="es-UY" w:eastAsia="es-UY"/>
                    </w:rPr>
                    <w:t xml:space="preserve">Deuda con ANTEL      </w:t>
                  </w:r>
                </w:p>
              </w:tc>
              <w:tc>
                <w:tcPr>
                  <w:tcW w:w="264" w:type="dxa"/>
                  <w:tcBorders>
                    <w:top w:val="nil"/>
                    <w:left w:val="nil"/>
                    <w:bottom w:val="nil"/>
                    <w:right w:val="nil"/>
                  </w:tcBorders>
                  <w:shd w:val="clear" w:color="auto" w:fill="auto"/>
                  <w:noWrap/>
                  <w:vAlign w:val="bottom"/>
                  <w:hideMark/>
                </w:tcPr>
                <w:p w:rsidR="00852D39" w:rsidRPr="006067B2" w:rsidRDefault="00852D39" w:rsidP="00852D39">
                  <w:pPr>
                    <w:rPr>
                      <w:rFonts w:cs="Arial"/>
                      <w:color w:val="000000"/>
                      <w:lang w:val="es-UY" w:eastAsia="es-UY"/>
                    </w:rPr>
                  </w:pPr>
                </w:p>
              </w:tc>
              <w:tc>
                <w:tcPr>
                  <w:tcW w:w="1623" w:type="dxa"/>
                  <w:tcBorders>
                    <w:top w:val="nil"/>
                    <w:left w:val="nil"/>
                    <w:bottom w:val="single" w:sz="4" w:space="0" w:color="auto"/>
                    <w:right w:val="nil"/>
                  </w:tcBorders>
                  <w:shd w:val="clear" w:color="auto" w:fill="auto"/>
                  <w:noWrap/>
                  <w:vAlign w:val="bottom"/>
                  <w:hideMark/>
                </w:tcPr>
                <w:p w:rsidR="00852D39" w:rsidRPr="007A72DC" w:rsidRDefault="00852D39" w:rsidP="00852D39">
                  <w:pPr>
                    <w:jc w:val="right"/>
                    <w:rPr>
                      <w:rFonts w:cs="Arial"/>
                      <w:color w:val="000000"/>
                      <w:lang w:val="es-UY" w:eastAsia="es-UY"/>
                    </w:rPr>
                  </w:pPr>
                  <w:r w:rsidRPr="007A72DC">
                    <w:rPr>
                      <w:rFonts w:cs="Arial"/>
                      <w:color w:val="000000"/>
                      <w:lang w:val="es-UY" w:eastAsia="es-UY"/>
                    </w:rPr>
                    <w:t>(402.591)</w:t>
                  </w:r>
                </w:p>
              </w:tc>
            </w:tr>
            <w:tr w:rsidR="00852D39" w:rsidRPr="006067B2" w:rsidTr="00852D39">
              <w:trPr>
                <w:trHeight w:val="315"/>
              </w:trPr>
              <w:tc>
                <w:tcPr>
                  <w:tcW w:w="6260" w:type="dxa"/>
                  <w:gridSpan w:val="2"/>
                  <w:tcBorders>
                    <w:top w:val="nil"/>
                    <w:left w:val="nil"/>
                    <w:right w:val="nil"/>
                  </w:tcBorders>
                  <w:shd w:val="clear" w:color="auto" w:fill="auto"/>
                  <w:noWrap/>
                  <w:vAlign w:val="bottom"/>
                </w:tcPr>
                <w:p w:rsidR="00852D39" w:rsidRPr="006067B2" w:rsidRDefault="00852D39" w:rsidP="00852D39">
                  <w:pPr>
                    <w:rPr>
                      <w:rFonts w:cs="Arial"/>
                      <w:color w:val="000000"/>
                      <w:lang w:val="es-UY" w:eastAsia="es-UY"/>
                    </w:rPr>
                  </w:pPr>
                  <w:r>
                    <w:rPr>
                      <w:rFonts w:cs="Arial"/>
                      <w:color w:val="000000"/>
                      <w:lang w:val="es-UY" w:eastAsia="es-UY"/>
                    </w:rPr>
                    <w:t xml:space="preserve">Resultado del ejercicio ajustado       </w:t>
                  </w:r>
                </w:p>
              </w:tc>
              <w:tc>
                <w:tcPr>
                  <w:tcW w:w="1623" w:type="dxa"/>
                  <w:tcBorders>
                    <w:top w:val="nil"/>
                    <w:left w:val="nil"/>
                    <w:right w:val="nil"/>
                  </w:tcBorders>
                  <w:shd w:val="clear" w:color="auto" w:fill="auto"/>
                  <w:noWrap/>
                  <w:vAlign w:val="bottom"/>
                </w:tcPr>
                <w:p w:rsidR="00852D39" w:rsidRPr="006067B2" w:rsidRDefault="00852D39" w:rsidP="00852D39">
                  <w:pPr>
                    <w:jc w:val="right"/>
                    <w:rPr>
                      <w:rFonts w:cs="Arial"/>
                      <w:color w:val="000000"/>
                      <w:lang w:val="es-UY" w:eastAsia="es-UY"/>
                    </w:rPr>
                  </w:pPr>
                  <w:r>
                    <w:rPr>
                      <w:rFonts w:cs="Arial"/>
                      <w:color w:val="000000"/>
                      <w:lang w:val="es-UY" w:eastAsia="es-UY"/>
                    </w:rPr>
                    <w:t>45:101.230</w:t>
                  </w:r>
                </w:p>
              </w:tc>
            </w:tr>
            <w:tr w:rsidR="00852D39" w:rsidRPr="006067B2" w:rsidTr="00852D39">
              <w:trPr>
                <w:trHeight w:val="315"/>
              </w:trPr>
              <w:tc>
                <w:tcPr>
                  <w:tcW w:w="6260" w:type="dxa"/>
                  <w:gridSpan w:val="2"/>
                  <w:tcBorders>
                    <w:top w:val="nil"/>
                    <w:left w:val="nil"/>
                    <w:bottom w:val="nil"/>
                    <w:right w:val="nil"/>
                  </w:tcBorders>
                  <w:shd w:val="clear" w:color="auto" w:fill="auto"/>
                  <w:noWrap/>
                  <w:vAlign w:val="bottom"/>
                </w:tcPr>
                <w:p w:rsidR="00852D39" w:rsidRPr="006067B2" w:rsidRDefault="00852D39" w:rsidP="00852D39">
                  <w:pPr>
                    <w:rPr>
                      <w:rFonts w:cs="Arial"/>
                      <w:color w:val="000000"/>
                      <w:lang w:val="es-UY" w:eastAsia="es-UY"/>
                    </w:rPr>
                  </w:pPr>
                </w:p>
              </w:tc>
              <w:tc>
                <w:tcPr>
                  <w:tcW w:w="1623" w:type="dxa"/>
                  <w:tcBorders>
                    <w:top w:val="nil"/>
                    <w:left w:val="nil"/>
                    <w:right w:val="nil"/>
                  </w:tcBorders>
                  <w:shd w:val="clear" w:color="auto" w:fill="auto"/>
                  <w:noWrap/>
                  <w:vAlign w:val="bottom"/>
                </w:tcPr>
                <w:p w:rsidR="00852D39" w:rsidRPr="006067B2" w:rsidRDefault="00852D39" w:rsidP="00852D39">
                  <w:pPr>
                    <w:jc w:val="right"/>
                    <w:rPr>
                      <w:rFonts w:cs="Arial"/>
                      <w:color w:val="000000"/>
                      <w:lang w:val="es-UY" w:eastAsia="es-UY"/>
                    </w:rPr>
                  </w:pPr>
                </w:p>
              </w:tc>
            </w:tr>
            <w:tr w:rsidR="00852D39" w:rsidRPr="006067B2" w:rsidTr="00852D39">
              <w:trPr>
                <w:trHeight w:val="330"/>
              </w:trPr>
              <w:tc>
                <w:tcPr>
                  <w:tcW w:w="6260" w:type="dxa"/>
                  <w:gridSpan w:val="2"/>
                  <w:tcBorders>
                    <w:top w:val="nil"/>
                    <w:left w:val="nil"/>
                    <w:bottom w:val="nil"/>
                    <w:right w:val="nil"/>
                  </w:tcBorders>
                  <w:shd w:val="clear" w:color="auto" w:fill="auto"/>
                  <w:noWrap/>
                  <w:vAlign w:val="bottom"/>
                </w:tcPr>
                <w:p w:rsidR="00852D39" w:rsidRPr="006067B2" w:rsidRDefault="00852D39" w:rsidP="00852D39">
                  <w:pPr>
                    <w:rPr>
                      <w:rFonts w:cs="Arial"/>
                      <w:color w:val="000000"/>
                      <w:lang w:val="es-UY" w:eastAsia="es-UY"/>
                    </w:rPr>
                  </w:pPr>
                  <w:r>
                    <w:rPr>
                      <w:rFonts w:cs="Arial"/>
                      <w:color w:val="000000"/>
                      <w:lang w:val="es-UY" w:eastAsia="es-UY"/>
                    </w:rPr>
                    <w:t xml:space="preserve">Resultado acumulado expuesto por la Intendencia </w:t>
                  </w:r>
                </w:p>
              </w:tc>
              <w:tc>
                <w:tcPr>
                  <w:tcW w:w="1623" w:type="dxa"/>
                  <w:tcBorders>
                    <w:top w:val="nil"/>
                    <w:left w:val="nil"/>
                    <w:right w:val="nil"/>
                  </w:tcBorders>
                  <w:shd w:val="clear" w:color="auto" w:fill="auto"/>
                  <w:noWrap/>
                  <w:vAlign w:val="bottom"/>
                </w:tcPr>
                <w:p w:rsidR="00852D39" w:rsidRPr="006067B2" w:rsidRDefault="00852D39" w:rsidP="00852D39">
                  <w:pPr>
                    <w:jc w:val="right"/>
                    <w:rPr>
                      <w:rFonts w:cs="Arial"/>
                      <w:color w:val="000000"/>
                      <w:lang w:val="es-UY" w:eastAsia="es-UY"/>
                    </w:rPr>
                  </w:pPr>
                  <w:r>
                    <w:rPr>
                      <w:rFonts w:cs="Arial"/>
                      <w:color w:val="000000"/>
                      <w:lang w:val="es-UY" w:eastAsia="es-UY"/>
                    </w:rPr>
                    <w:t>(147:053.935)</w:t>
                  </w:r>
                </w:p>
              </w:tc>
            </w:tr>
            <w:tr w:rsidR="00852D39" w:rsidRPr="006067B2" w:rsidTr="00852D39">
              <w:trPr>
                <w:trHeight w:val="330"/>
              </w:trPr>
              <w:tc>
                <w:tcPr>
                  <w:tcW w:w="6260" w:type="dxa"/>
                  <w:gridSpan w:val="2"/>
                  <w:tcBorders>
                    <w:top w:val="nil"/>
                    <w:left w:val="nil"/>
                    <w:bottom w:val="nil"/>
                    <w:right w:val="nil"/>
                  </w:tcBorders>
                  <w:shd w:val="clear" w:color="auto" w:fill="auto"/>
                  <w:noWrap/>
                  <w:vAlign w:val="bottom"/>
                </w:tcPr>
                <w:p w:rsidR="00852D39" w:rsidRPr="006067B2" w:rsidRDefault="00852D39" w:rsidP="00852D39">
                  <w:pPr>
                    <w:rPr>
                      <w:rFonts w:cs="Arial"/>
                      <w:color w:val="000000"/>
                      <w:lang w:val="es-UY" w:eastAsia="es-UY"/>
                    </w:rPr>
                  </w:pPr>
                  <w:r>
                    <w:rPr>
                      <w:rFonts w:cs="Arial"/>
                      <w:color w:val="000000"/>
                      <w:lang w:val="es-UY" w:eastAsia="es-UY"/>
                    </w:rPr>
                    <w:t>Ajustes del ejercicio 2013</w:t>
                  </w:r>
                </w:p>
              </w:tc>
              <w:tc>
                <w:tcPr>
                  <w:tcW w:w="1623" w:type="dxa"/>
                  <w:tcBorders>
                    <w:left w:val="nil"/>
                    <w:bottom w:val="single" w:sz="4" w:space="0" w:color="auto"/>
                    <w:right w:val="nil"/>
                  </w:tcBorders>
                  <w:shd w:val="clear" w:color="auto" w:fill="auto"/>
                  <w:noWrap/>
                  <w:vAlign w:val="bottom"/>
                </w:tcPr>
                <w:p w:rsidR="00852D39" w:rsidRPr="006067B2" w:rsidRDefault="00852D39" w:rsidP="00852D39">
                  <w:pPr>
                    <w:jc w:val="right"/>
                    <w:rPr>
                      <w:rFonts w:cs="Arial"/>
                      <w:color w:val="000000"/>
                      <w:lang w:val="es-UY" w:eastAsia="es-UY"/>
                    </w:rPr>
                  </w:pPr>
                  <w:r>
                    <w:rPr>
                      <w:rFonts w:cs="Arial"/>
                      <w:color w:val="000000"/>
                      <w:lang w:val="es-UY" w:eastAsia="es-UY"/>
                    </w:rPr>
                    <w:t>(7:876.594)</w:t>
                  </w:r>
                </w:p>
              </w:tc>
            </w:tr>
          </w:tbl>
          <w:p w:rsidR="00852D39" w:rsidRPr="006067B2" w:rsidRDefault="00852D39" w:rsidP="00852D39">
            <w:pPr>
              <w:rPr>
                <w:rFonts w:cs="Arial"/>
                <w:color w:val="000000"/>
                <w:lang w:val="es-UY" w:eastAsia="es-UY"/>
              </w:rPr>
            </w:pPr>
          </w:p>
        </w:tc>
        <w:tc>
          <w:tcPr>
            <w:tcW w:w="1560" w:type="dxa"/>
            <w:tcBorders>
              <w:top w:val="nil"/>
              <w:left w:val="nil"/>
              <w:bottom w:val="nil"/>
              <w:right w:val="nil"/>
            </w:tcBorders>
            <w:shd w:val="clear" w:color="auto" w:fill="auto"/>
            <w:noWrap/>
            <w:vAlign w:val="bottom"/>
          </w:tcPr>
          <w:p w:rsidR="00852D39" w:rsidRDefault="00852D39" w:rsidP="00852D39">
            <w:pPr>
              <w:rPr>
                <w:rFonts w:cs="Arial"/>
                <w:color w:val="000000"/>
                <w:lang w:val="es-UY" w:eastAsia="es-UY"/>
              </w:rPr>
            </w:pPr>
          </w:p>
          <w:p w:rsidR="00852D39" w:rsidRDefault="00852D39" w:rsidP="00852D39">
            <w:pPr>
              <w:rPr>
                <w:rFonts w:cs="Arial"/>
                <w:color w:val="000000"/>
                <w:lang w:val="es-UY" w:eastAsia="es-UY"/>
              </w:rPr>
            </w:pPr>
          </w:p>
          <w:p w:rsidR="00852D39" w:rsidRDefault="00852D39" w:rsidP="00852D39">
            <w:pPr>
              <w:rPr>
                <w:rFonts w:cs="Arial"/>
                <w:color w:val="000000"/>
                <w:lang w:val="es-UY" w:eastAsia="es-UY"/>
              </w:rPr>
            </w:pPr>
          </w:p>
          <w:p w:rsidR="00852D39" w:rsidRDefault="00852D39" w:rsidP="00852D39">
            <w:pPr>
              <w:rPr>
                <w:rFonts w:cs="Arial"/>
                <w:color w:val="000000"/>
                <w:lang w:val="es-UY" w:eastAsia="es-UY"/>
              </w:rPr>
            </w:pPr>
          </w:p>
          <w:p w:rsidR="00852D39" w:rsidRDefault="00852D39" w:rsidP="00852D39">
            <w:pPr>
              <w:rPr>
                <w:rFonts w:cs="Arial"/>
                <w:color w:val="000000"/>
                <w:lang w:val="es-UY" w:eastAsia="es-UY"/>
              </w:rPr>
            </w:pPr>
          </w:p>
          <w:p w:rsidR="00852D39" w:rsidRPr="006067B2" w:rsidRDefault="00852D39" w:rsidP="00852D39">
            <w:pPr>
              <w:rPr>
                <w:rFonts w:cs="Arial"/>
                <w:color w:val="000000"/>
                <w:lang w:val="es-UY" w:eastAsia="es-UY"/>
              </w:rPr>
            </w:pPr>
          </w:p>
        </w:tc>
      </w:tr>
    </w:tbl>
    <w:p w:rsidR="00852D39" w:rsidRPr="007A72DC" w:rsidRDefault="00852D39" w:rsidP="00852D39">
      <w:pPr>
        <w:spacing w:line="360" w:lineRule="auto"/>
        <w:rPr>
          <w:rFonts w:cs="Arial"/>
        </w:rPr>
      </w:pPr>
      <w:r>
        <w:rPr>
          <w:rFonts w:cs="Arial"/>
        </w:rPr>
        <w:t xml:space="preserve">  Resultado acumulado ajustado                                             (154:930.529)</w:t>
      </w:r>
    </w:p>
    <w:p w:rsidR="00852D39" w:rsidRDefault="00852D39" w:rsidP="00852D39">
      <w:pPr>
        <w:spacing w:line="360" w:lineRule="auto"/>
        <w:rPr>
          <w:rFonts w:cs="Arial"/>
          <w:b/>
        </w:rPr>
      </w:pPr>
    </w:p>
    <w:p w:rsidR="00852D39" w:rsidRDefault="00852D39" w:rsidP="00852D39">
      <w:pPr>
        <w:spacing w:line="360" w:lineRule="auto"/>
        <w:rPr>
          <w:rFonts w:cs="Arial"/>
          <w:b/>
        </w:rPr>
      </w:pPr>
    </w:p>
    <w:p w:rsidR="00852D39" w:rsidRDefault="00852D39" w:rsidP="00852D39">
      <w:pPr>
        <w:pStyle w:val="Ttulo2"/>
      </w:pPr>
      <w:bookmarkStart w:id="11" w:name="_Toc177468434"/>
      <w:bookmarkStart w:id="12" w:name="_Toc177801591"/>
      <w:bookmarkStart w:id="13" w:name="_Toc247944538"/>
      <w:bookmarkStart w:id="14" w:name="_Toc310000939"/>
      <w:bookmarkStart w:id="15" w:name="_Toc344371131"/>
      <w:bookmarkStart w:id="16" w:name="_Toc84082769"/>
      <w:r>
        <w:t xml:space="preserve">3.2 INCUMPLIMIENTO DE NORMAS </w:t>
      </w:r>
      <w:bookmarkEnd w:id="11"/>
      <w:bookmarkEnd w:id="12"/>
      <w:r>
        <w:t>LEGALES</w:t>
      </w:r>
      <w:bookmarkEnd w:id="13"/>
      <w:bookmarkEnd w:id="14"/>
      <w:bookmarkEnd w:id="15"/>
    </w:p>
    <w:p w:rsidR="00852D39" w:rsidRDefault="00852D39" w:rsidP="00852D39">
      <w:pPr>
        <w:pStyle w:val="Textoindependiente"/>
        <w:widowControl w:val="0"/>
        <w:spacing w:after="0" w:line="360" w:lineRule="auto"/>
        <w:rPr>
          <w:rFonts w:cs="Arial"/>
          <w:lang w:val="es-ES"/>
        </w:rPr>
      </w:pPr>
      <w:r>
        <w:rPr>
          <w:rFonts w:cs="Arial"/>
          <w:lang w:val="es-ES"/>
        </w:rPr>
        <w:t>En relación al incumplimiento de normas, corresponde realizar las siguientes precisiones:</w:t>
      </w:r>
    </w:p>
    <w:p w:rsidR="00852D39" w:rsidRDefault="00852D39" w:rsidP="00852D39">
      <w:pPr>
        <w:pStyle w:val="Ttulo3"/>
      </w:pPr>
      <w:bookmarkStart w:id="17" w:name="_Toc344371132"/>
      <w:r>
        <w:t>3.2.1 Asignaciones presupuestales</w:t>
      </w:r>
      <w:bookmarkEnd w:id="17"/>
    </w:p>
    <w:p w:rsidR="00852D39" w:rsidRDefault="00852D39" w:rsidP="00852D39">
      <w:pPr>
        <w:spacing w:line="360" w:lineRule="auto"/>
        <w:jc w:val="both"/>
        <w:rPr>
          <w:rFonts w:cs="Arial"/>
          <w:kern w:val="18"/>
          <w:szCs w:val="20"/>
          <w:lang w:val="es-ES_tradnl"/>
        </w:rPr>
      </w:pPr>
      <w:r>
        <w:rPr>
          <w:rFonts w:cs="Arial"/>
          <w:kern w:val="18"/>
          <w:szCs w:val="20"/>
          <w:lang w:val="es-ES_tradnl"/>
        </w:rPr>
        <w:t>En algunos programas las asignaciones presupuestales no se exponen de acuerdo a lo establecido en el Pre</w:t>
      </w:r>
      <w:r w:rsidR="00A17A45">
        <w:rPr>
          <w:rFonts w:cs="Arial"/>
          <w:kern w:val="18"/>
          <w:szCs w:val="20"/>
          <w:lang w:val="es-ES_tradnl"/>
        </w:rPr>
        <w:t>supuesto  Quinquenal 2011-2015.</w:t>
      </w:r>
    </w:p>
    <w:p w:rsidR="00852D39" w:rsidRDefault="00852D39" w:rsidP="00852D39">
      <w:pPr>
        <w:pStyle w:val="Ttulo3"/>
      </w:pPr>
      <w:bookmarkStart w:id="18" w:name="_Toc344371133"/>
      <w:r>
        <w:t>3.2.2 Contribución inmobiliaria rural</w:t>
      </w:r>
      <w:bookmarkEnd w:id="18"/>
    </w:p>
    <w:p w:rsidR="00852D39" w:rsidRDefault="00852D39" w:rsidP="00852D39">
      <w:pPr>
        <w:tabs>
          <w:tab w:val="center" w:pos="4252"/>
          <w:tab w:val="right" w:pos="8504"/>
        </w:tabs>
        <w:spacing w:line="360" w:lineRule="auto"/>
        <w:jc w:val="both"/>
        <w:rPr>
          <w:rFonts w:cs="Arial"/>
          <w:kern w:val="18"/>
          <w:szCs w:val="20"/>
          <w:lang w:val="es-ES_tradnl"/>
        </w:rPr>
      </w:pPr>
      <w:r>
        <w:rPr>
          <w:rFonts w:cs="Arial"/>
          <w:kern w:val="18"/>
          <w:szCs w:val="20"/>
          <w:lang w:val="es-ES_tradnl"/>
        </w:rPr>
        <w:t>La Intendencia aplicó multas por mora en el pago de la Contribución Inmobiliaria Rural en forma gradual y progresiva, a razón de 0,5% diario corrido hasta llegar al 10%.</w:t>
      </w:r>
    </w:p>
    <w:p w:rsidR="00852D39" w:rsidRDefault="00852D39" w:rsidP="00852D39">
      <w:pPr>
        <w:tabs>
          <w:tab w:val="center" w:pos="4252"/>
          <w:tab w:val="right" w:pos="8504"/>
        </w:tabs>
        <w:spacing w:line="360" w:lineRule="auto"/>
        <w:jc w:val="both"/>
        <w:rPr>
          <w:rFonts w:cs="Arial"/>
          <w:kern w:val="18"/>
          <w:szCs w:val="20"/>
          <w:lang w:val="es-ES_tradnl"/>
        </w:rPr>
      </w:pPr>
      <w:r>
        <w:rPr>
          <w:rFonts w:cs="Arial"/>
        </w:rPr>
        <w:t>La multa por mora tiene naturaleza punitiva, por lo que, su establecimiento así como su exoneración y/o quitas en el caso de este tributo, corresponden a la Ley Nacional, no siendo materia de regulación departamental (</w:t>
      </w:r>
      <w:r>
        <w:rPr>
          <w:rFonts w:cs="Arial"/>
          <w:kern w:val="18"/>
          <w:szCs w:val="20"/>
          <w:lang w:val="es-ES_tradnl"/>
        </w:rPr>
        <w:t>Artículos 93 y 94 del Código Tributario  y Artículo 470 de la Ley N° 17.930).</w:t>
      </w:r>
    </w:p>
    <w:p w:rsidR="00852D39" w:rsidRDefault="00852D39" w:rsidP="00852D39">
      <w:pPr>
        <w:pStyle w:val="Ttulo3"/>
      </w:pPr>
      <w:bookmarkStart w:id="19" w:name="_Toc344371134"/>
      <w:r>
        <w:t>3.2.3 Proceso del gasto</w:t>
      </w:r>
      <w:bookmarkEnd w:id="19"/>
    </w:p>
    <w:p w:rsidR="00852D39" w:rsidRDefault="00852D39" w:rsidP="00852D39">
      <w:pPr>
        <w:spacing w:line="360" w:lineRule="auto"/>
        <w:jc w:val="both"/>
        <w:rPr>
          <w:rFonts w:cs="Arial"/>
        </w:rPr>
      </w:pPr>
      <w:r>
        <w:rPr>
          <w:rFonts w:cs="Arial"/>
        </w:rPr>
        <w:t>En lo que refiere al proceso del gasto se constataron apartamientos de la normativa aplicable dado que:</w:t>
      </w:r>
    </w:p>
    <w:p w:rsidR="00852D39" w:rsidRDefault="00852D39" w:rsidP="00852D39">
      <w:pPr>
        <w:spacing w:line="360" w:lineRule="auto"/>
        <w:jc w:val="both"/>
        <w:rPr>
          <w:rFonts w:cs="Arial"/>
        </w:rPr>
      </w:pPr>
      <w:r>
        <w:rPr>
          <w:rFonts w:cs="Arial"/>
        </w:rPr>
        <w:t>- al comprometerse los gastos, no siempre se efectuó la afectación previa de los objetos corres</w:t>
      </w:r>
      <w:r>
        <w:rPr>
          <w:rFonts w:cs="Arial"/>
        </w:rPr>
        <w:softHyphen/>
        <w:t>pondientes (Art</w:t>
      </w:r>
      <w:r w:rsidR="00296EF5">
        <w:rPr>
          <w:rFonts w:cs="Arial"/>
        </w:rPr>
        <w:t>ículo 102 Numeral 3 del TOCAF);</w:t>
      </w:r>
    </w:p>
    <w:p w:rsidR="00852D39" w:rsidRDefault="00852D39" w:rsidP="00852D39">
      <w:pPr>
        <w:spacing w:line="360" w:lineRule="auto"/>
        <w:jc w:val="both"/>
        <w:rPr>
          <w:rFonts w:cs="Arial"/>
        </w:rPr>
      </w:pPr>
      <w:r>
        <w:rPr>
          <w:rFonts w:cs="Arial"/>
        </w:rPr>
        <w:t>- se ejecutaron gastos y se efectuaron pagos sin haber sido intervenidos preventivamente por el Tribunal de Cuentas o el Contador Delegado, según hubiere correspondido (Artículo 211 Literal B) de la Constitución de la República y Artículo 87 del TOCAF);</w:t>
      </w:r>
    </w:p>
    <w:p w:rsidR="00852D39" w:rsidRDefault="00852D39" w:rsidP="00852D39">
      <w:pPr>
        <w:spacing w:line="360" w:lineRule="auto"/>
        <w:jc w:val="both"/>
        <w:rPr>
          <w:rFonts w:cs="Arial"/>
          <w:i/>
          <w:kern w:val="18"/>
          <w:sz w:val="22"/>
          <w:szCs w:val="22"/>
          <w:lang w:val="es-ES_tradnl"/>
        </w:rPr>
      </w:pPr>
      <w:r>
        <w:rPr>
          <w:rFonts w:cs="Arial"/>
        </w:rPr>
        <w:t>- no se aplicó el criterio de lo devengado en la imputación de algunos gastos, sino que se imputaron en el momento de</w:t>
      </w:r>
      <w:r w:rsidR="00296EF5">
        <w:rPr>
          <w:rFonts w:cs="Arial"/>
        </w:rPr>
        <w:t>l pago (Artículo 20 del TOCAF);</w:t>
      </w:r>
    </w:p>
    <w:p w:rsidR="00852D39" w:rsidRDefault="00852D39" w:rsidP="00852D39">
      <w:pPr>
        <w:spacing w:line="360" w:lineRule="auto"/>
        <w:jc w:val="both"/>
        <w:rPr>
          <w:rFonts w:cs="Arial"/>
          <w:b/>
          <w:snapToGrid w:val="0"/>
        </w:rPr>
      </w:pPr>
      <w:r>
        <w:rPr>
          <w:rFonts w:cs="Arial"/>
        </w:rPr>
        <w:t>- se constataron facturas con fecha anterior a la fecha de la orden de compra por lo que el gasto no fue autorizado previamente por Ordenador competente (Artículos 14 y 23 del TOCAF);</w:t>
      </w:r>
    </w:p>
    <w:p w:rsidR="00852D39" w:rsidRDefault="00852D39" w:rsidP="00852D39">
      <w:pPr>
        <w:spacing w:line="360" w:lineRule="auto"/>
        <w:jc w:val="both"/>
        <w:rPr>
          <w:rFonts w:cs="Arial"/>
          <w:b/>
          <w:bCs/>
        </w:rPr>
      </w:pPr>
      <w:r>
        <w:rPr>
          <w:rFonts w:cs="Arial"/>
          <w:snapToGrid w:val="0"/>
        </w:rPr>
        <w:t>- se efectuaron contratos de arrendamiento de servicios con fecha retroactiva y se abonaron partidas con contratos vencidos</w:t>
      </w:r>
      <w:r>
        <w:rPr>
          <w:rFonts w:cs="Arial"/>
          <w:b/>
          <w:snapToGrid w:val="0"/>
        </w:rPr>
        <w:t xml:space="preserve"> </w:t>
      </w:r>
      <w:r>
        <w:rPr>
          <w:rFonts w:cs="Arial"/>
          <w:bCs/>
          <w:snapToGrid w:val="0"/>
        </w:rPr>
        <w:t>(Artículo 14 del TOCAF);</w:t>
      </w:r>
    </w:p>
    <w:p w:rsidR="00852D39" w:rsidRDefault="00852D39" w:rsidP="00852D39">
      <w:pPr>
        <w:spacing w:line="360" w:lineRule="auto"/>
        <w:jc w:val="both"/>
        <w:rPr>
          <w:rFonts w:cs="Arial"/>
        </w:rPr>
      </w:pPr>
      <w:r>
        <w:rPr>
          <w:rFonts w:cs="Arial"/>
        </w:rPr>
        <w:t>- se verificaron excesos de gastos, resultando observados por el Contador Delegado por incumplir lo establecido en el Artículo 15 del TOCAF. No se recurrió al mecanismo de la trasposición de objetos para evitar dichos excesos (Artículo 35 del Libro Segundo Presupuesto Quinquenal de Río Negro         2011-2015).</w:t>
      </w:r>
    </w:p>
    <w:p w:rsidR="00852D39" w:rsidRDefault="00852D39" w:rsidP="00852D39">
      <w:pPr>
        <w:pStyle w:val="Ttulo3"/>
      </w:pPr>
      <w:bookmarkStart w:id="20" w:name="_Toc344371135"/>
      <w:r>
        <w:t>3.2.4 Arqueos de fondos y valores</w:t>
      </w:r>
      <w:bookmarkEnd w:id="20"/>
    </w:p>
    <w:p w:rsidR="00852D39" w:rsidRDefault="00852D39" w:rsidP="00852D39">
      <w:pPr>
        <w:spacing w:line="360" w:lineRule="auto"/>
        <w:jc w:val="both"/>
        <w:rPr>
          <w:rFonts w:cs="Arial"/>
        </w:rPr>
      </w:pPr>
      <w:r>
        <w:rPr>
          <w:rFonts w:cs="Arial"/>
        </w:rPr>
        <w:t>No se efectuaron arqueos periódicos en todas las dependencias que manejan fondos y valores (Artículo 119 del TOCAF).</w:t>
      </w:r>
    </w:p>
    <w:p w:rsidR="00852D39" w:rsidRDefault="00852D39" w:rsidP="00852D39">
      <w:pPr>
        <w:spacing w:line="360" w:lineRule="auto"/>
        <w:jc w:val="both"/>
        <w:rPr>
          <w:kern w:val="18"/>
          <w:szCs w:val="20"/>
          <w:lang w:val="es-ES_tradnl"/>
        </w:rPr>
      </w:pPr>
      <w:r>
        <w:rPr>
          <w:kern w:val="18"/>
          <w:szCs w:val="20"/>
          <w:lang w:val="es-ES_tradnl"/>
        </w:rPr>
        <w:t>La cantidad de arqueos realizados en el transcurso del Ejercicio 2013 responde al siguiente detalle:</w:t>
      </w:r>
    </w:p>
    <w:p w:rsidR="00852D39" w:rsidRDefault="00852D39" w:rsidP="00852D39">
      <w:pPr>
        <w:spacing w:line="360" w:lineRule="auto"/>
        <w:jc w:val="both"/>
        <w:rPr>
          <w:kern w:val="18"/>
          <w:szCs w:val="20"/>
          <w:lang w:val="es-ES_tradnl"/>
        </w:rPr>
      </w:pPr>
    </w:p>
    <w:p w:rsidR="00852D39" w:rsidRDefault="00852D39" w:rsidP="00852D39">
      <w:pPr>
        <w:spacing w:after="120"/>
        <w:rPr>
          <w:rFonts w:cs="Arial"/>
        </w:rPr>
      </w:pPr>
      <w:r>
        <w:rPr>
          <w:rFonts w:cs="Arial"/>
        </w:rPr>
        <w:t>Municipio de Nuevo Berlín: 4 arqueos</w:t>
      </w:r>
    </w:p>
    <w:p w:rsidR="00852D39" w:rsidRDefault="00852D39" w:rsidP="00852D39">
      <w:pPr>
        <w:spacing w:after="120"/>
        <w:rPr>
          <w:rFonts w:cs="Arial"/>
        </w:rPr>
      </w:pPr>
      <w:r>
        <w:rPr>
          <w:rFonts w:cs="Arial"/>
        </w:rPr>
        <w:t>Municipio de Young: 1 arqueo</w:t>
      </w:r>
    </w:p>
    <w:p w:rsidR="00852D39" w:rsidRDefault="00852D39" w:rsidP="00852D39">
      <w:pPr>
        <w:spacing w:after="120"/>
        <w:rPr>
          <w:rFonts w:cs="Arial"/>
        </w:rPr>
      </w:pPr>
      <w:r>
        <w:rPr>
          <w:rFonts w:cs="Arial"/>
        </w:rPr>
        <w:t>Junta Local de San Javier: 4 arqueos</w:t>
      </w:r>
    </w:p>
    <w:p w:rsidR="00852D39" w:rsidRDefault="00852D39" w:rsidP="00852D39">
      <w:pPr>
        <w:spacing w:after="120"/>
        <w:rPr>
          <w:rFonts w:cs="Arial"/>
        </w:rPr>
      </w:pPr>
      <w:r>
        <w:rPr>
          <w:rFonts w:cs="Arial"/>
        </w:rPr>
        <w:t>Oficina Recaudadora Montevideo: 2 arqueos</w:t>
      </w:r>
    </w:p>
    <w:p w:rsidR="00852D39" w:rsidRDefault="00852D39" w:rsidP="00852D39">
      <w:pPr>
        <w:spacing w:after="120"/>
        <w:rPr>
          <w:rFonts w:cs="Arial"/>
        </w:rPr>
      </w:pPr>
      <w:r>
        <w:rPr>
          <w:rFonts w:cs="Arial"/>
        </w:rPr>
        <w:t>Las Cañas: 1 arqueo</w:t>
      </w:r>
    </w:p>
    <w:p w:rsidR="00852D39" w:rsidRDefault="00852D39" w:rsidP="00852D39">
      <w:pPr>
        <w:spacing w:after="120"/>
        <w:rPr>
          <w:rFonts w:cs="Arial"/>
        </w:rPr>
      </w:pPr>
      <w:r>
        <w:rPr>
          <w:rFonts w:cs="Arial"/>
        </w:rPr>
        <w:t>Tesorería Central Fray Bentos: 5 arqueos</w:t>
      </w:r>
    </w:p>
    <w:p w:rsidR="00852D39" w:rsidRDefault="00852D39" w:rsidP="00852D39">
      <w:pPr>
        <w:spacing w:after="120"/>
        <w:rPr>
          <w:rFonts w:cs="Arial"/>
        </w:rPr>
      </w:pPr>
      <w:r>
        <w:rPr>
          <w:rFonts w:cs="Arial"/>
        </w:rPr>
        <w:t>Oficina Recaudadora Anexo Fray Bentos: 5 arqueos</w:t>
      </w:r>
    </w:p>
    <w:p w:rsidR="00852D39" w:rsidRDefault="00852D39" w:rsidP="00852D39">
      <w:pPr>
        <w:spacing w:after="120"/>
        <w:rPr>
          <w:rFonts w:cs="Arial"/>
        </w:rPr>
      </w:pPr>
      <w:r>
        <w:rPr>
          <w:rFonts w:cs="Arial"/>
        </w:rPr>
        <w:t>Oficina Recaudadora PIM: 2 arqueos</w:t>
      </w:r>
    </w:p>
    <w:p w:rsidR="00852D39" w:rsidRDefault="000F7AD1" w:rsidP="00852D39">
      <w:pPr>
        <w:spacing w:after="120"/>
        <w:rPr>
          <w:rFonts w:cs="Arial"/>
        </w:rPr>
      </w:pPr>
      <w:r>
        <w:rPr>
          <w:rFonts w:cs="Arial"/>
        </w:rPr>
        <w:t>Gestión Cobranza: 2 arqueos</w:t>
      </w:r>
    </w:p>
    <w:p w:rsidR="00852D39" w:rsidRDefault="00852D39" w:rsidP="00852D39">
      <w:pPr>
        <w:spacing w:line="360" w:lineRule="auto"/>
        <w:jc w:val="both"/>
        <w:rPr>
          <w:kern w:val="18"/>
          <w:szCs w:val="20"/>
          <w:lang w:val="es-ES_tradnl"/>
        </w:rPr>
      </w:pPr>
      <w:r>
        <w:rPr>
          <w:kern w:val="18"/>
          <w:szCs w:val="20"/>
          <w:lang w:val="es-ES_tradnl"/>
        </w:rPr>
        <w:t>Cabe señalar que, en el Municipio de Young, donde se produce un elevado porcentaje del total recaudado, sólo se realizó el arqueo de fin de ejercicio, al igual que en la Oficina de Las Cañas.</w:t>
      </w:r>
    </w:p>
    <w:p w:rsidR="00852D39" w:rsidRDefault="00852D39" w:rsidP="00852D39">
      <w:pPr>
        <w:pStyle w:val="Textoindependiente"/>
        <w:spacing w:after="0" w:line="360" w:lineRule="auto"/>
      </w:pPr>
      <w:r>
        <w:t>En total en el ejercicio 2013 se realizaron 26 arqueos, aumentando el número con respecto al ejercicio 2012 (en el cual se realizaron 11), pero disminuyendo respecto a los ejercicios 2011 y 2010, en los cuales se realizaron 29 y 38 arqueos respectivamente.</w:t>
      </w:r>
    </w:p>
    <w:p w:rsidR="00852D39" w:rsidRDefault="00852D39" w:rsidP="00852D39">
      <w:pPr>
        <w:pStyle w:val="Ttulo3"/>
      </w:pPr>
      <w:bookmarkStart w:id="21" w:name="_Toc344371136"/>
      <w:r>
        <w:t>3.2.5 Horas extras</w:t>
      </w:r>
      <w:bookmarkEnd w:id="21"/>
    </w:p>
    <w:p w:rsidR="00852D39" w:rsidRDefault="00852D39" w:rsidP="00852D39">
      <w:pPr>
        <w:spacing w:line="360" w:lineRule="auto"/>
        <w:jc w:val="both"/>
      </w:pPr>
      <w:r>
        <w:t>En el Ejercicio 2013 se abonaron horas extras por encima de los límites establecidos en el Convenio N° 30 de la O.I.T., en casos no alcanzados por las  excepciones establecidas en el Artículo 7 del mismo.</w:t>
      </w:r>
    </w:p>
    <w:p w:rsidR="00852D39" w:rsidRDefault="00852D39" w:rsidP="00852D39">
      <w:pPr>
        <w:pStyle w:val="Ttulo3"/>
        <w:jc w:val="both"/>
      </w:pPr>
      <w:bookmarkStart w:id="22" w:name="_Toc344371137"/>
      <w:r>
        <w:t>3.2.6 Instructivo del Tribunal de Cuentas respecto a Rendición de Cuentas</w:t>
      </w:r>
      <w:bookmarkEnd w:id="22"/>
    </w:p>
    <w:p w:rsidR="00852D39" w:rsidRDefault="00852D39" w:rsidP="00852D39">
      <w:pPr>
        <w:widowControl w:val="0"/>
        <w:suppressAutoHyphens/>
        <w:spacing w:line="360" w:lineRule="auto"/>
        <w:jc w:val="both"/>
        <w:rPr>
          <w:rFonts w:eastAsia="Lucida Sans Unicode" w:cs="Arial"/>
          <w:lang w:val="es-ES_tradnl"/>
        </w:rPr>
      </w:pPr>
      <w:r>
        <w:rPr>
          <w:rFonts w:eastAsia="Lucida Sans Unicode" w:cs="Arial"/>
          <w:lang w:val="es-ES_tradnl"/>
        </w:rPr>
        <w:t>El documento presentado no se ajusta totalmente en su formulación a la Resolución de este Tribunal de 28/01/04, en tanto:</w:t>
      </w:r>
    </w:p>
    <w:bookmarkEnd w:id="16"/>
    <w:p w:rsidR="00852D39" w:rsidRDefault="00852D39" w:rsidP="00852D39">
      <w:pPr>
        <w:pStyle w:val="Encabezado"/>
        <w:numPr>
          <w:ilvl w:val="2"/>
          <w:numId w:val="3"/>
        </w:numPr>
        <w:tabs>
          <w:tab w:val="clear" w:pos="4252"/>
          <w:tab w:val="clear" w:pos="8504"/>
          <w:tab w:val="left" w:pos="360"/>
        </w:tabs>
        <w:spacing w:line="360" w:lineRule="auto"/>
        <w:ind w:left="0" w:firstLine="0"/>
        <w:jc w:val="both"/>
      </w:pPr>
      <w:r>
        <w:t>Se indica el detalle de los cheques diferidos de terceros (los que son restados del saldo de caja), pero sin identificar los recursos que les dieron origen.</w:t>
      </w:r>
    </w:p>
    <w:p w:rsidR="00852D39" w:rsidRDefault="00852D39" w:rsidP="00852D39">
      <w:pPr>
        <w:pStyle w:val="Encabezado"/>
        <w:numPr>
          <w:ilvl w:val="2"/>
          <w:numId w:val="3"/>
        </w:numPr>
        <w:tabs>
          <w:tab w:val="clear" w:pos="4252"/>
          <w:tab w:val="clear" w:pos="8504"/>
          <w:tab w:val="left" w:pos="360"/>
        </w:tabs>
        <w:spacing w:line="360" w:lineRule="auto"/>
        <w:ind w:left="0" w:firstLine="0"/>
      </w:pPr>
      <w:r w:rsidRPr="008202F8">
        <w:t>N</w:t>
      </w:r>
      <w:r>
        <w:t>o se presentó el  estado Nº 6 “M</w:t>
      </w:r>
      <w:r w:rsidRPr="008202F8">
        <w:t>ovimiento de fondos</w:t>
      </w:r>
      <w:r>
        <w:t xml:space="preserve"> y valores</w:t>
      </w:r>
      <w:r w:rsidRPr="008202F8">
        <w:t>”.</w:t>
      </w:r>
    </w:p>
    <w:p w:rsidR="00852D39" w:rsidRDefault="00852D39" w:rsidP="00852D39">
      <w:pPr>
        <w:pStyle w:val="Encabezado"/>
        <w:numPr>
          <w:ilvl w:val="2"/>
          <w:numId w:val="3"/>
        </w:numPr>
        <w:tabs>
          <w:tab w:val="clear" w:pos="4252"/>
          <w:tab w:val="clear" w:pos="8504"/>
          <w:tab w:val="left" w:pos="360"/>
        </w:tabs>
        <w:spacing w:line="360" w:lineRule="auto"/>
        <w:ind w:left="0" w:firstLine="0"/>
        <w:jc w:val="both"/>
        <w:rPr>
          <w:b/>
        </w:rPr>
      </w:pPr>
      <w:r>
        <w:t>No se deja expresa constancia de que la “descomposición del saldo de caja y bancos” comprende a la totalidad de las cuentas bancarias y cajas de la Intendencia.</w:t>
      </w:r>
    </w:p>
    <w:p w:rsidR="00852D39" w:rsidRDefault="00852D39" w:rsidP="00852D39">
      <w:pPr>
        <w:pStyle w:val="Encabezado"/>
        <w:numPr>
          <w:ilvl w:val="2"/>
          <w:numId w:val="3"/>
        </w:numPr>
        <w:tabs>
          <w:tab w:val="clear" w:pos="4252"/>
          <w:tab w:val="clear" w:pos="8504"/>
          <w:tab w:val="left" w:pos="360"/>
        </w:tabs>
        <w:spacing w:line="360" w:lineRule="auto"/>
        <w:ind w:left="0" w:firstLine="0"/>
        <w:jc w:val="both"/>
        <w:rPr>
          <w:b/>
        </w:rPr>
      </w:pPr>
      <w:r>
        <w:rPr>
          <w:rFonts w:cs="Arial"/>
        </w:rPr>
        <w:t xml:space="preserve">No se adjuntan las certificaciones de los Organismos Públicos con el detalle de las deudas y </w:t>
      </w:r>
      <w:r w:rsidR="00296EF5">
        <w:rPr>
          <w:rFonts w:cs="Arial"/>
        </w:rPr>
        <w:t>las conciliaciones respectivas.</w:t>
      </w:r>
    </w:p>
    <w:p w:rsidR="00852D39" w:rsidRDefault="00852D39" w:rsidP="00852D39">
      <w:pPr>
        <w:pStyle w:val="Encabezado"/>
        <w:numPr>
          <w:ilvl w:val="2"/>
          <w:numId w:val="3"/>
        </w:numPr>
        <w:tabs>
          <w:tab w:val="clear" w:pos="4252"/>
          <w:tab w:val="clear" w:pos="8504"/>
          <w:tab w:val="left" w:pos="360"/>
        </w:tabs>
        <w:spacing w:line="360" w:lineRule="auto"/>
        <w:ind w:left="0" w:firstLine="0"/>
        <w:jc w:val="both"/>
        <w:rPr>
          <w:b/>
        </w:rPr>
      </w:pPr>
      <w:r>
        <w:rPr>
          <w:rFonts w:cs="Arial"/>
        </w:rPr>
        <w:t>Se presenta el estado Nº 1 “del grado del cumplimiento de los objetivos y metas”, pero no en la forma prevista en el Artículo 128 del TOCAF.</w:t>
      </w:r>
    </w:p>
    <w:p w:rsidR="00852D39" w:rsidRDefault="00852D39" w:rsidP="00852D39">
      <w:pPr>
        <w:pStyle w:val="Encabezado"/>
        <w:numPr>
          <w:ilvl w:val="2"/>
          <w:numId w:val="3"/>
        </w:numPr>
        <w:tabs>
          <w:tab w:val="clear" w:pos="4252"/>
          <w:tab w:val="clear" w:pos="8504"/>
          <w:tab w:val="left" w:pos="360"/>
        </w:tabs>
        <w:spacing w:line="360" w:lineRule="auto"/>
        <w:ind w:left="0" w:firstLine="0"/>
        <w:jc w:val="both"/>
      </w:pPr>
      <w:r>
        <w:t>No se remitió copia del inventario de activos que integran el patrimonio de la Inten</w:t>
      </w:r>
      <w:r w:rsidR="00296EF5">
        <w:t>dencia al cierre del ejercicio.</w:t>
      </w:r>
    </w:p>
    <w:p w:rsidR="00852D39" w:rsidRPr="00996032" w:rsidRDefault="00852D39" w:rsidP="00852D39">
      <w:pPr>
        <w:pStyle w:val="Encabezado"/>
        <w:numPr>
          <w:ilvl w:val="2"/>
          <w:numId w:val="3"/>
        </w:numPr>
        <w:tabs>
          <w:tab w:val="clear" w:pos="4252"/>
          <w:tab w:val="clear" w:pos="8504"/>
          <w:tab w:val="left" w:pos="360"/>
        </w:tabs>
        <w:spacing w:line="360" w:lineRule="auto"/>
        <w:ind w:left="0" w:firstLine="0"/>
        <w:jc w:val="both"/>
      </w:pPr>
      <w:r>
        <w:t>No se incluyen copias de los documentos correspondientes al endeudamiento financiero (estado Nº 9), ni las referidas a los convenios firmados (estado Nº 1</w:t>
      </w:r>
      <w:r w:rsidR="00296EF5">
        <w:t>0).</w:t>
      </w:r>
    </w:p>
    <w:p w:rsidR="00852D39" w:rsidRDefault="00852D39" w:rsidP="00852D39">
      <w:pPr>
        <w:pStyle w:val="Encabezado"/>
        <w:tabs>
          <w:tab w:val="clear" w:pos="4252"/>
          <w:tab w:val="clear" w:pos="8504"/>
        </w:tabs>
      </w:pPr>
    </w:p>
    <w:p w:rsidR="00852D39" w:rsidRDefault="00852D39" w:rsidP="00852D39">
      <w:pPr>
        <w:pStyle w:val="Ttulo2"/>
        <w:numPr>
          <w:ilvl w:val="1"/>
          <w:numId w:val="0"/>
        </w:numPr>
        <w:tabs>
          <w:tab w:val="num" w:pos="0"/>
        </w:tabs>
        <w:spacing w:after="0"/>
        <w:ind w:left="450" w:hanging="450"/>
        <w:rPr>
          <w:rFonts w:cs="Arial"/>
        </w:rPr>
      </w:pPr>
      <w:bookmarkStart w:id="23" w:name="_Toc344371138"/>
      <w:bookmarkStart w:id="24" w:name="_Toc247944551"/>
      <w:r>
        <w:rPr>
          <w:rFonts w:cs="Arial"/>
        </w:rPr>
        <w:t>3.3 DEBILIDADES DE CONTROL INTERNO</w:t>
      </w:r>
      <w:bookmarkEnd w:id="23"/>
    </w:p>
    <w:p w:rsidR="00852D39" w:rsidRDefault="00852D39" w:rsidP="00852D39">
      <w:pPr>
        <w:pStyle w:val="Textoindependiente"/>
        <w:spacing w:after="0"/>
        <w:rPr>
          <w:lang w:val="es-ES"/>
        </w:rPr>
      </w:pPr>
    </w:p>
    <w:p w:rsidR="00852D39" w:rsidRDefault="00852D39" w:rsidP="00852D39">
      <w:pPr>
        <w:pStyle w:val="Ttulo3"/>
        <w:spacing w:before="0" w:after="0" w:line="360" w:lineRule="auto"/>
      </w:pPr>
      <w:bookmarkStart w:id="25" w:name="_Toc344371139"/>
      <w:r>
        <w:rPr>
          <w:sz w:val="24"/>
          <w:szCs w:val="24"/>
        </w:rPr>
        <w:t>3.3.1 Respecto a recursos o manejo de fondos.</w:t>
      </w:r>
      <w:bookmarkEnd w:id="25"/>
    </w:p>
    <w:p w:rsidR="00852D39" w:rsidRDefault="00852D39" w:rsidP="00852D39">
      <w:pPr>
        <w:pStyle w:val="Textoindependiente"/>
        <w:numPr>
          <w:ilvl w:val="0"/>
          <w:numId w:val="4"/>
        </w:numPr>
        <w:tabs>
          <w:tab w:val="left" w:pos="360"/>
        </w:tabs>
        <w:spacing w:after="0" w:line="360" w:lineRule="auto"/>
        <w:ind w:left="0" w:firstLine="0"/>
        <w:rPr>
          <w:rFonts w:cs="Arial"/>
          <w:lang w:val="es-ES"/>
        </w:rPr>
      </w:pPr>
      <w:r>
        <w:rPr>
          <w:rFonts w:cs="Arial"/>
          <w:lang w:val="es-ES"/>
        </w:rPr>
        <w:t>Existen algunos movimientos de las cuentas bancarias que no son registrados contablemente en tiempo y forma. Cabe señalar que esta situación ha mejorado en relación a ejercicios anteriores.</w:t>
      </w:r>
    </w:p>
    <w:p w:rsidR="00852D39" w:rsidRDefault="00852D39" w:rsidP="00852D39">
      <w:pPr>
        <w:pStyle w:val="Textoindependiente"/>
        <w:numPr>
          <w:ilvl w:val="0"/>
          <w:numId w:val="4"/>
        </w:numPr>
        <w:tabs>
          <w:tab w:val="left" w:pos="360"/>
        </w:tabs>
        <w:spacing w:after="0" w:line="360" w:lineRule="auto"/>
        <w:ind w:left="0" w:firstLine="0"/>
      </w:pPr>
      <w:r>
        <w:rPr>
          <w:lang w:val="es-MX"/>
        </w:rPr>
        <w:t>No se realizan arqueos de fondos en forma periódica en todas las dependencias donde se manejan fondos y valores</w:t>
      </w:r>
      <w:r w:rsidR="00296EF5">
        <w:rPr>
          <w:rFonts w:cs="Arial"/>
          <w:lang w:val="es-ES"/>
        </w:rPr>
        <w:t>.</w:t>
      </w:r>
    </w:p>
    <w:p w:rsidR="00852D39" w:rsidRDefault="00852D39" w:rsidP="00852D39">
      <w:pPr>
        <w:pStyle w:val="Textoindependiente"/>
        <w:numPr>
          <w:ilvl w:val="0"/>
          <w:numId w:val="4"/>
        </w:numPr>
        <w:tabs>
          <w:tab w:val="left" w:pos="360"/>
        </w:tabs>
        <w:spacing w:after="0" w:line="360" w:lineRule="auto"/>
        <w:ind w:left="0" w:firstLine="0"/>
      </w:pPr>
      <w:r>
        <w:t>No se mantiene un compendio actualizado de las normas tributarias vigentes.</w:t>
      </w:r>
    </w:p>
    <w:p w:rsidR="00852D39" w:rsidRDefault="00852D39" w:rsidP="00852D39">
      <w:pPr>
        <w:pStyle w:val="Textoindependiente"/>
        <w:numPr>
          <w:ilvl w:val="0"/>
          <w:numId w:val="4"/>
        </w:numPr>
        <w:tabs>
          <w:tab w:val="left" w:pos="360"/>
        </w:tabs>
        <w:spacing w:after="0" w:line="360" w:lineRule="auto"/>
        <w:ind w:left="0" w:firstLine="0"/>
      </w:pPr>
      <w:r>
        <w:t>No se realiza un seguimiento de los convenios firmados por los contribuyentes a efectos de verificar si han caducado.</w:t>
      </w:r>
    </w:p>
    <w:p w:rsidR="00852D39" w:rsidRDefault="00852D39" w:rsidP="00852D39">
      <w:pPr>
        <w:pStyle w:val="Textoindependiente"/>
        <w:tabs>
          <w:tab w:val="num" w:pos="855"/>
        </w:tabs>
        <w:spacing w:after="0" w:line="360" w:lineRule="auto"/>
      </w:pPr>
      <w:r>
        <w:rPr>
          <w:b/>
          <w:bCs/>
          <w:szCs w:val="24"/>
        </w:rPr>
        <w:t>5-</w:t>
      </w:r>
      <w:r>
        <w:rPr>
          <w:szCs w:val="24"/>
        </w:rPr>
        <w:t xml:space="preserve"> Respecto de las concesiones, no consta la existencia de</w:t>
      </w:r>
      <w:r>
        <w:t xml:space="preserve"> un registro actualizado que permita realizar un control periódico de las mismas, a efectos de obtener información en lo que refiere a vencimientos, recaudación y cumplimiento </w:t>
      </w:r>
      <w:r w:rsidR="00296EF5">
        <w:t>de las cláusulas contractuales.</w:t>
      </w:r>
    </w:p>
    <w:p w:rsidR="00852D39" w:rsidRDefault="00852D39" w:rsidP="00852D39">
      <w:pPr>
        <w:pStyle w:val="Textoindependiente"/>
        <w:tabs>
          <w:tab w:val="left" w:pos="360"/>
          <w:tab w:val="num" w:pos="855"/>
        </w:tabs>
        <w:spacing w:after="0" w:line="360" w:lineRule="auto"/>
      </w:pPr>
    </w:p>
    <w:p w:rsidR="00852D39" w:rsidRDefault="00852D39" w:rsidP="00852D39">
      <w:pPr>
        <w:pStyle w:val="Ttulo3"/>
        <w:spacing w:before="0" w:after="0" w:line="360" w:lineRule="auto"/>
        <w:rPr>
          <w:sz w:val="24"/>
          <w:szCs w:val="24"/>
        </w:rPr>
      </w:pPr>
      <w:bookmarkStart w:id="26" w:name="_Toc344371140"/>
      <w:r>
        <w:rPr>
          <w:sz w:val="24"/>
          <w:szCs w:val="24"/>
        </w:rPr>
        <w:t>3.3.2 Respecto a retribuciones personales</w:t>
      </w:r>
      <w:bookmarkEnd w:id="26"/>
    </w:p>
    <w:p w:rsidR="00852D39" w:rsidRDefault="00852D39" w:rsidP="00852D39">
      <w:pPr>
        <w:pStyle w:val="Textoindependiente"/>
        <w:numPr>
          <w:ilvl w:val="0"/>
          <w:numId w:val="5"/>
        </w:numPr>
        <w:tabs>
          <w:tab w:val="left" w:pos="360"/>
        </w:tabs>
        <w:spacing w:after="0" w:line="360" w:lineRule="auto"/>
        <w:ind w:left="0" w:firstLine="0"/>
        <w:rPr>
          <w:rFonts w:cs="Arial"/>
        </w:rPr>
      </w:pPr>
      <w:r>
        <w:rPr>
          <w:rFonts w:cs="Arial"/>
          <w:lang w:val="es-ES"/>
        </w:rPr>
        <w:t>No se cuenta con un compendio normativo actualizado de las normas presupuestales de las  partidas de carácter salarial.</w:t>
      </w:r>
    </w:p>
    <w:p w:rsidR="00852D39" w:rsidRDefault="00852D39" w:rsidP="00852D39">
      <w:pPr>
        <w:pStyle w:val="Textoindependiente"/>
        <w:numPr>
          <w:ilvl w:val="0"/>
          <w:numId w:val="5"/>
        </w:numPr>
        <w:tabs>
          <w:tab w:val="left" w:pos="360"/>
        </w:tabs>
        <w:spacing w:after="0" w:line="360" w:lineRule="auto"/>
        <w:ind w:left="0" w:firstLine="0"/>
        <w:rPr>
          <w:rFonts w:cs="Arial"/>
          <w:lang w:val="es-ES"/>
        </w:rPr>
      </w:pPr>
      <w:r>
        <w:rPr>
          <w:rFonts w:cs="Arial"/>
        </w:rPr>
        <w:t xml:space="preserve">No se controla que las horas extras autorizadas se ajusten </w:t>
      </w:r>
      <w:r w:rsidR="00296EF5">
        <w:rPr>
          <w:rFonts w:cs="Arial"/>
        </w:rPr>
        <w:t>a los topes legales permitidos.</w:t>
      </w:r>
    </w:p>
    <w:p w:rsidR="00852D39" w:rsidRDefault="00852D39" w:rsidP="00852D39">
      <w:pPr>
        <w:pStyle w:val="Textoindependiente"/>
        <w:tabs>
          <w:tab w:val="left" w:pos="360"/>
        </w:tabs>
        <w:spacing w:after="0" w:line="360" w:lineRule="auto"/>
        <w:rPr>
          <w:rFonts w:cs="Arial"/>
          <w:lang w:val="es-ES"/>
        </w:rPr>
      </w:pPr>
    </w:p>
    <w:p w:rsidR="00852D39" w:rsidRDefault="00852D39" w:rsidP="00852D39">
      <w:pPr>
        <w:pStyle w:val="Ttulo3"/>
        <w:spacing w:before="0" w:after="0" w:line="360" w:lineRule="auto"/>
        <w:rPr>
          <w:sz w:val="24"/>
          <w:szCs w:val="24"/>
        </w:rPr>
      </w:pPr>
      <w:bookmarkStart w:id="27" w:name="_Toc344371141"/>
      <w:r>
        <w:rPr>
          <w:sz w:val="24"/>
          <w:szCs w:val="24"/>
        </w:rPr>
        <w:t>3.3.3 Respecto al sistema de compras</w:t>
      </w:r>
      <w:bookmarkEnd w:id="27"/>
    </w:p>
    <w:p w:rsidR="00852D39" w:rsidRDefault="00852D39" w:rsidP="00852D39">
      <w:pPr>
        <w:pStyle w:val="Textoindependiente"/>
        <w:numPr>
          <w:ilvl w:val="1"/>
          <w:numId w:val="5"/>
        </w:numPr>
        <w:tabs>
          <w:tab w:val="left" w:pos="360"/>
        </w:tabs>
        <w:spacing w:after="0" w:line="360" w:lineRule="auto"/>
        <w:ind w:left="0" w:firstLine="0"/>
        <w:rPr>
          <w:color w:val="000000"/>
          <w:sz w:val="22"/>
          <w:szCs w:val="22"/>
        </w:rPr>
      </w:pPr>
      <w:r>
        <w:t>Si bien existe un manual de procedimientos relacionado con las adquisiciones, no se verifica que el proceso del gasto se adecue a las normas correspondientes en todos los casos.</w:t>
      </w:r>
    </w:p>
    <w:p w:rsidR="00852D39" w:rsidRDefault="00852D39" w:rsidP="00852D39">
      <w:pPr>
        <w:pStyle w:val="Textoindependiente"/>
        <w:numPr>
          <w:ilvl w:val="1"/>
          <w:numId w:val="5"/>
        </w:numPr>
        <w:tabs>
          <w:tab w:val="left" w:pos="360"/>
        </w:tabs>
        <w:spacing w:after="0" w:line="360" w:lineRule="auto"/>
        <w:ind w:left="0" w:firstLine="0"/>
        <w:rPr>
          <w:rFonts w:cs="Arial"/>
        </w:rPr>
      </w:pPr>
      <w:r>
        <w:t xml:space="preserve">No se controla el vencimiento de los contratos de servicios de terceros, constatándose, en algunos casos, que se siguen prestando servicios en base a contratos vencidos. En estos casos las resoluciones de prórroga de los mismos se realizan con </w:t>
      </w:r>
      <w:r w:rsidR="00296EF5">
        <w:t>fecha posterior al vencimiento.</w:t>
      </w:r>
    </w:p>
    <w:p w:rsidR="00852D39" w:rsidRPr="00296EF5" w:rsidRDefault="00852D39" w:rsidP="00852D39">
      <w:pPr>
        <w:pStyle w:val="Ttulo2"/>
        <w:spacing w:after="0"/>
        <w:jc w:val="both"/>
        <w:rPr>
          <w:rFonts w:cs="Arial"/>
          <w:lang w:val="es-ES_tradnl"/>
        </w:rPr>
      </w:pPr>
      <w:bookmarkStart w:id="28" w:name="_Toc310000950"/>
      <w:bookmarkStart w:id="29" w:name="_Toc344371142"/>
    </w:p>
    <w:p w:rsidR="00852D39" w:rsidRDefault="00852D39" w:rsidP="00852D39">
      <w:pPr>
        <w:pStyle w:val="Ttulo2"/>
        <w:spacing w:after="0"/>
        <w:jc w:val="both"/>
        <w:rPr>
          <w:rFonts w:cs="Arial"/>
        </w:rPr>
      </w:pPr>
      <w:r>
        <w:rPr>
          <w:rFonts w:cs="Arial"/>
        </w:rPr>
        <w:t>3.4 RECOMENDACIONES</w:t>
      </w:r>
      <w:bookmarkEnd w:id="24"/>
      <w:bookmarkEnd w:id="28"/>
      <w:bookmarkEnd w:id="29"/>
    </w:p>
    <w:p w:rsidR="00852D39" w:rsidRDefault="00852D39" w:rsidP="00852D39">
      <w:pPr>
        <w:pStyle w:val="Textoindependiente"/>
        <w:spacing w:after="0"/>
        <w:rPr>
          <w:lang w:val="es-ES"/>
        </w:rPr>
      </w:pPr>
    </w:p>
    <w:p w:rsidR="00852D39" w:rsidRDefault="00852D39" w:rsidP="00852D39">
      <w:pPr>
        <w:pStyle w:val="Ttulo2"/>
        <w:spacing w:after="0"/>
        <w:jc w:val="both"/>
        <w:rPr>
          <w:rFonts w:cs="Arial"/>
        </w:rPr>
      </w:pPr>
      <w:bookmarkStart w:id="30" w:name="_Toc247944552"/>
      <w:bookmarkStart w:id="31" w:name="_Toc310000951"/>
      <w:bookmarkStart w:id="32" w:name="_Toc344371143"/>
      <w:r>
        <w:rPr>
          <w:rFonts w:cs="Arial"/>
        </w:rPr>
        <w:t>3.4.1 Recomendaciones del ejercicio  anterior cumplidas</w:t>
      </w:r>
      <w:bookmarkEnd w:id="30"/>
      <w:bookmarkEnd w:id="31"/>
      <w:bookmarkEnd w:id="32"/>
    </w:p>
    <w:p w:rsidR="00852D39" w:rsidRDefault="00852D39" w:rsidP="00852D39">
      <w:pPr>
        <w:pStyle w:val="Textoindependiente"/>
        <w:spacing w:after="0"/>
        <w:rPr>
          <w:lang w:val="es-ES"/>
        </w:rPr>
      </w:pPr>
    </w:p>
    <w:p w:rsidR="00852D39" w:rsidRDefault="00852D39" w:rsidP="00852D39">
      <w:pPr>
        <w:pStyle w:val="Ttulo3"/>
        <w:spacing w:before="0" w:after="0" w:line="360" w:lineRule="auto"/>
        <w:rPr>
          <w:sz w:val="24"/>
          <w:szCs w:val="24"/>
        </w:rPr>
      </w:pPr>
      <w:bookmarkStart w:id="33" w:name="_Toc247944553"/>
      <w:bookmarkStart w:id="34" w:name="_Toc344371144"/>
      <w:r>
        <w:rPr>
          <w:sz w:val="24"/>
          <w:szCs w:val="24"/>
        </w:rPr>
        <w:t>3.4.1.1 Ajuste al déficit acumulado al 31/12/</w:t>
      </w:r>
      <w:bookmarkEnd w:id="33"/>
      <w:r>
        <w:rPr>
          <w:sz w:val="24"/>
          <w:szCs w:val="24"/>
        </w:rPr>
        <w:t>1</w:t>
      </w:r>
      <w:bookmarkEnd w:id="34"/>
      <w:r>
        <w:rPr>
          <w:sz w:val="24"/>
          <w:szCs w:val="24"/>
        </w:rPr>
        <w:t>2</w:t>
      </w:r>
    </w:p>
    <w:p w:rsidR="00852D39" w:rsidRDefault="00852D39" w:rsidP="00852D39">
      <w:pPr>
        <w:pStyle w:val="Textoindependiente"/>
        <w:spacing w:after="0" w:line="360" w:lineRule="auto"/>
        <w:rPr>
          <w:rFonts w:cs="Arial"/>
          <w:lang w:val="es-ES"/>
        </w:rPr>
      </w:pPr>
      <w:r>
        <w:rPr>
          <w:rFonts w:cs="Arial"/>
          <w:lang w:val="es-ES"/>
        </w:rPr>
        <w:t>Para la presentación del déficit acumulado fueron considerados los ajustes propuestos por este Tribunal en el Dictamen de la Rendición de Cuentas correspondiente al Ejercicio  2012.</w:t>
      </w:r>
    </w:p>
    <w:p w:rsidR="00852D39" w:rsidRDefault="00852D39" w:rsidP="00852D39">
      <w:pPr>
        <w:pStyle w:val="Textoindependiente"/>
        <w:spacing w:after="0" w:line="360" w:lineRule="auto"/>
        <w:rPr>
          <w:rFonts w:cs="Arial"/>
          <w:lang w:val="es-ES"/>
        </w:rPr>
      </w:pPr>
    </w:p>
    <w:p w:rsidR="00852D39" w:rsidRDefault="00852D39" w:rsidP="00852D39">
      <w:pPr>
        <w:pStyle w:val="Ttulo3"/>
        <w:spacing w:before="0" w:after="0" w:line="360" w:lineRule="auto"/>
        <w:rPr>
          <w:sz w:val="24"/>
          <w:szCs w:val="24"/>
        </w:rPr>
      </w:pPr>
      <w:bookmarkStart w:id="35" w:name="_Toc247944568"/>
      <w:bookmarkStart w:id="36" w:name="_Toc310000966"/>
      <w:bookmarkStart w:id="37" w:name="_Toc344371155"/>
      <w:bookmarkStart w:id="38" w:name="_Toc344371148"/>
      <w:r>
        <w:rPr>
          <w:sz w:val="24"/>
          <w:szCs w:val="24"/>
        </w:rPr>
        <w:t>3.4.1.2 Solicitud</w:t>
      </w:r>
      <w:bookmarkEnd w:id="35"/>
      <w:bookmarkEnd w:id="36"/>
      <w:bookmarkEnd w:id="37"/>
      <w:r>
        <w:rPr>
          <w:sz w:val="24"/>
          <w:szCs w:val="24"/>
        </w:rPr>
        <w:t xml:space="preserve"> de declaración jurada en las contrataciones</w:t>
      </w:r>
    </w:p>
    <w:p w:rsidR="00852D39" w:rsidRDefault="00852D39" w:rsidP="00852D39">
      <w:pPr>
        <w:pStyle w:val="Lista"/>
        <w:tabs>
          <w:tab w:val="left" w:pos="0"/>
        </w:tabs>
        <w:ind w:left="0" w:firstLine="0"/>
        <w:rPr>
          <w:rFonts w:cs="Arial"/>
          <w:snapToGrid w:val="0"/>
        </w:rPr>
      </w:pPr>
      <w:r w:rsidRPr="00280408">
        <w:rPr>
          <w:rFonts w:cs="Arial"/>
          <w:snapToGrid w:val="0"/>
        </w:rPr>
        <w:t xml:space="preserve">En las contrataciones </w:t>
      </w:r>
      <w:r>
        <w:rPr>
          <w:rFonts w:cs="Arial"/>
          <w:snapToGrid w:val="0"/>
        </w:rPr>
        <w:t xml:space="preserve">de personal </w:t>
      </w:r>
      <w:r w:rsidRPr="00280408">
        <w:rPr>
          <w:rFonts w:cs="Arial"/>
          <w:snapToGrid w:val="0"/>
        </w:rPr>
        <w:t>celebra</w:t>
      </w:r>
      <w:r>
        <w:rPr>
          <w:rFonts w:cs="Arial"/>
          <w:snapToGrid w:val="0"/>
        </w:rPr>
        <w:t>das por la Intendencia, se exigió</w:t>
      </w:r>
      <w:r w:rsidRPr="00280408">
        <w:rPr>
          <w:rFonts w:cs="Arial"/>
          <w:snapToGrid w:val="0"/>
        </w:rPr>
        <w:t xml:space="preserve"> declaración jurada de no percibir más de una remuneraci</w:t>
      </w:r>
      <w:r>
        <w:rPr>
          <w:rFonts w:cs="Arial"/>
          <w:snapToGrid w:val="0"/>
        </w:rPr>
        <w:t>ón con cargo a fondos públicos, cumpliendo así con lo que establece el Artículo 32 de la Ley               Nº 11.923 y el A</w:t>
      </w:r>
      <w:r w:rsidR="00296EF5">
        <w:rPr>
          <w:rFonts w:cs="Arial"/>
          <w:snapToGrid w:val="0"/>
        </w:rPr>
        <w:t>rtículo 12 de la Ley Nº 12.079.</w:t>
      </w:r>
    </w:p>
    <w:p w:rsidR="00852D39" w:rsidRPr="003B33FD" w:rsidRDefault="00852D39" w:rsidP="00852D39">
      <w:pPr>
        <w:pStyle w:val="Textoindependiente"/>
        <w:spacing w:after="0" w:line="360" w:lineRule="auto"/>
        <w:rPr>
          <w:rFonts w:cs="Arial"/>
          <w:kern w:val="0"/>
          <w:szCs w:val="24"/>
        </w:rPr>
      </w:pPr>
    </w:p>
    <w:p w:rsidR="00852D39" w:rsidRDefault="00852D39" w:rsidP="00852D39">
      <w:pPr>
        <w:pStyle w:val="Ttulo3"/>
        <w:spacing w:before="0" w:after="0" w:line="360" w:lineRule="auto"/>
        <w:jc w:val="both"/>
        <w:rPr>
          <w:sz w:val="24"/>
          <w:szCs w:val="24"/>
        </w:rPr>
      </w:pPr>
      <w:bookmarkStart w:id="39" w:name="_Toc247944572"/>
      <w:bookmarkStart w:id="40" w:name="_Toc310000970"/>
      <w:bookmarkStart w:id="41" w:name="_Toc344371158"/>
      <w:r>
        <w:rPr>
          <w:sz w:val="24"/>
          <w:szCs w:val="24"/>
        </w:rPr>
        <w:t>3.4.1.3 Evolución</w:t>
      </w:r>
      <w:bookmarkEnd w:id="39"/>
      <w:bookmarkEnd w:id="40"/>
      <w:bookmarkEnd w:id="41"/>
      <w:r>
        <w:rPr>
          <w:sz w:val="24"/>
          <w:szCs w:val="24"/>
        </w:rPr>
        <w:t xml:space="preserve"> de obligaciones presupuestales impagas, </w:t>
      </w:r>
      <w:proofErr w:type="spellStart"/>
      <w:r>
        <w:rPr>
          <w:sz w:val="24"/>
          <w:szCs w:val="24"/>
        </w:rPr>
        <w:t>extrapresupuesto</w:t>
      </w:r>
      <w:proofErr w:type="spellEnd"/>
      <w:r>
        <w:rPr>
          <w:sz w:val="24"/>
          <w:szCs w:val="24"/>
        </w:rPr>
        <w:t xml:space="preserve"> e indisponibles</w:t>
      </w:r>
    </w:p>
    <w:p w:rsidR="00852D39" w:rsidRDefault="00852D39" w:rsidP="00852D39">
      <w:pPr>
        <w:pStyle w:val="Textoindependiente"/>
        <w:spacing w:after="0" w:line="360" w:lineRule="auto"/>
        <w:rPr>
          <w:rFonts w:cs="Arial"/>
          <w:lang w:val="es-ES"/>
        </w:rPr>
      </w:pPr>
      <w:r>
        <w:rPr>
          <w:rFonts w:cs="Arial"/>
          <w:lang w:val="es-ES"/>
        </w:rPr>
        <w:t xml:space="preserve">Se realizaron ajustes a los  efectos de presentar los saldos reales, realizándose </w:t>
      </w:r>
      <w:proofErr w:type="spellStart"/>
      <w:r>
        <w:rPr>
          <w:rFonts w:cs="Arial"/>
          <w:lang w:val="es-ES"/>
        </w:rPr>
        <w:t>circulariza</w:t>
      </w:r>
      <w:r>
        <w:rPr>
          <w:rFonts w:cs="Arial"/>
          <w:lang w:val="es-ES"/>
        </w:rPr>
        <w:softHyphen/>
        <w:t>ción</w:t>
      </w:r>
      <w:proofErr w:type="spellEnd"/>
      <w:r>
        <w:rPr>
          <w:rFonts w:cs="Arial"/>
          <w:lang w:val="es-ES"/>
        </w:rPr>
        <w:t xml:space="preserve"> de acreedores.</w:t>
      </w:r>
    </w:p>
    <w:p w:rsidR="00852D39" w:rsidRDefault="00852D39" w:rsidP="00852D39">
      <w:pPr>
        <w:pStyle w:val="Textoindependiente"/>
        <w:spacing w:after="0" w:line="360" w:lineRule="auto"/>
        <w:rPr>
          <w:rFonts w:cs="Arial"/>
          <w:lang w:val="es-ES"/>
        </w:rPr>
      </w:pPr>
      <w:r>
        <w:rPr>
          <w:rFonts w:cs="Arial"/>
          <w:lang w:val="es-ES"/>
        </w:rPr>
        <w:t>Asimismo, se han detallado la totalidad de los acreedores de acuerdo con lo esta</w:t>
      </w:r>
      <w:r>
        <w:rPr>
          <w:rFonts w:cs="Arial"/>
          <w:lang w:val="es-ES"/>
        </w:rPr>
        <w:softHyphen/>
        <w:t>blecido en el instructivo del Tribu</w:t>
      </w:r>
      <w:r w:rsidR="00296EF5">
        <w:rPr>
          <w:rFonts w:cs="Arial"/>
          <w:lang w:val="es-ES"/>
        </w:rPr>
        <w:t>nal de Cuentas del 28/01/2004.</w:t>
      </w:r>
    </w:p>
    <w:p w:rsidR="00852D39" w:rsidRDefault="00852D39" w:rsidP="00852D39">
      <w:pPr>
        <w:pStyle w:val="Textoindependiente"/>
        <w:spacing w:after="0" w:line="360" w:lineRule="auto"/>
        <w:rPr>
          <w:rFonts w:cs="Arial"/>
          <w:lang w:val="es-ES"/>
        </w:rPr>
      </w:pPr>
    </w:p>
    <w:p w:rsidR="00852D39" w:rsidRDefault="00852D39" w:rsidP="00852D39">
      <w:pPr>
        <w:pStyle w:val="Ttulo3"/>
        <w:spacing w:before="0" w:after="0" w:line="360" w:lineRule="auto"/>
        <w:rPr>
          <w:sz w:val="24"/>
          <w:szCs w:val="24"/>
        </w:rPr>
      </w:pPr>
      <w:r>
        <w:rPr>
          <w:sz w:val="24"/>
          <w:szCs w:val="24"/>
        </w:rPr>
        <w:t>3.4.1.4 Exposición de rubros de ingresos</w:t>
      </w:r>
    </w:p>
    <w:p w:rsidR="00852D39" w:rsidRDefault="00852D39" w:rsidP="00852D39">
      <w:pPr>
        <w:pStyle w:val="Textoindependiente"/>
        <w:spacing w:after="0" w:line="360" w:lineRule="auto"/>
        <w:rPr>
          <w:rFonts w:cs="Arial"/>
          <w:bCs/>
          <w:kern w:val="0"/>
          <w:szCs w:val="24"/>
          <w:lang w:val="es-ES"/>
        </w:rPr>
      </w:pPr>
      <w:r>
        <w:rPr>
          <w:rFonts w:cs="Arial"/>
          <w:bCs/>
          <w:kern w:val="0"/>
          <w:szCs w:val="24"/>
          <w:lang w:val="es-ES"/>
        </w:rPr>
        <w:t xml:space="preserve">Los ingresos por empadronamiento de vehículos, libretas </w:t>
      </w:r>
      <w:proofErr w:type="gramStart"/>
      <w:r>
        <w:rPr>
          <w:rFonts w:cs="Arial"/>
          <w:bCs/>
          <w:kern w:val="0"/>
          <w:szCs w:val="24"/>
          <w:lang w:val="es-ES"/>
        </w:rPr>
        <w:t>automotores</w:t>
      </w:r>
      <w:proofErr w:type="gramEnd"/>
      <w:r>
        <w:rPr>
          <w:rFonts w:cs="Arial"/>
          <w:bCs/>
          <w:kern w:val="0"/>
          <w:szCs w:val="24"/>
          <w:lang w:val="es-ES"/>
        </w:rPr>
        <w:t xml:space="preserve"> y chapas de matrículas se han registrado en rubros relacionados con servicios de Tránsito.</w:t>
      </w:r>
    </w:p>
    <w:p w:rsidR="00852D39" w:rsidRDefault="00852D39" w:rsidP="00852D39">
      <w:pPr>
        <w:widowControl w:val="0"/>
        <w:spacing w:line="360" w:lineRule="auto"/>
        <w:jc w:val="both"/>
        <w:rPr>
          <w:rFonts w:cs="Arial"/>
          <w:color w:val="000000"/>
          <w:lang w:eastAsia="ar-SA"/>
        </w:rPr>
      </w:pPr>
      <w:r>
        <w:rPr>
          <w:rFonts w:cs="Arial"/>
          <w:color w:val="000000"/>
          <w:lang w:eastAsia="ar-SA"/>
        </w:rPr>
        <w:t xml:space="preserve"> </w:t>
      </w:r>
    </w:p>
    <w:p w:rsidR="00852D39" w:rsidRDefault="00852D39" w:rsidP="00852D39">
      <w:pPr>
        <w:pStyle w:val="Ttulo3"/>
        <w:spacing w:before="0" w:after="0" w:line="360" w:lineRule="auto"/>
        <w:rPr>
          <w:sz w:val="24"/>
          <w:szCs w:val="24"/>
        </w:rPr>
      </w:pPr>
      <w:bookmarkStart w:id="42" w:name="_Toc310000980"/>
      <w:bookmarkStart w:id="43" w:name="_Toc344371167"/>
      <w:r>
        <w:rPr>
          <w:sz w:val="24"/>
          <w:szCs w:val="24"/>
        </w:rPr>
        <w:t>3.4.1.5 Licitaciones públicas</w:t>
      </w:r>
      <w:bookmarkEnd w:id="42"/>
      <w:bookmarkEnd w:id="43"/>
    </w:p>
    <w:p w:rsidR="00852D39" w:rsidRDefault="00852D39" w:rsidP="00852D39">
      <w:pPr>
        <w:pStyle w:val="Lista"/>
        <w:tabs>
          <w:tab w:val="left" w:pos="0"/>
        </w:tabs>
        <w:ind w:left="0" w:firstLine="0"/>
        <w:rPr>
          <w:rFonts w:cs="Arial"/>
          <w:bCs/>
          <w:snapToGrid w:val="0"/>
        </w:rPr>
      </w:pPr>
      <w:r>
        <w:rPr>
          <w:rFonts w:cs="Arial"/>
          <w:bCs/>
          <w:snapToGrid w:val="0"/>
        </w:rPr>
        <w:t>La Intendencia ha enviado al Tribunal de Cuentas las licitaciones públicas para su intervención.</w:t>
      </w:r>
    </w:p>
    <w:p w:rsidR="00852D39" w:rsidRDefault="00852D39" w:rsidP="00852D39">
      <w:pPr>
        <w:pStyle w:val="Lista"/>
        <w:tabs>
          <w:tab w:val="left" w:pos="0"/>
        </w:tabs>
        <w:ind w:left="0" w:firstLine="0"/>
        <w:rPr>
          <w:rFonts w:cs="Arial"/>
          <w:bCs/>
          <w:snapToGrid w:val="0"/>
        </w:rPr>
      </w:pPr>
    </w:p>
    <w:p w:rsidR="00852D39" w:rsidRDefault="00852D39" w:rsidP="00852D39">
      <w:pPr>
        <w:pStyle w:val="Lista"/>
        <w:tabs>
          <w:tab w:val="left" w:pos="0"/>
        </w:tabs>
        <w:ind w:left="0" w:firstLine="0"/>
        <w:rPr>
          <w:rFonts w:cs="Arial"/>
          <w:b/>
          <w:bCs/>
          <w:snapToGrid w:val="0"/>
        </w:rPr>
      </w:pPr>
      <w:r w:rsidRPr="00C42794">
        <w:rPr>
          <w:rFonts w:cs="Arial"/>
          <w:b/>
          <w:bCs/>
          <w:snapToGrid w:val="0"/>
        </w:rPr>
        <w:t>3.4.1.6 Unidad de Auditoría Interna</w:t>
      </w:r>
    </w:p>
    <w:p w:rsidR="00852D39" w:rsidRDefault="00852D39" w:rsidP="00852D39">
      <w:pPr>
        <w:pStyle w:val="Lista"/>
        <w:tabs>
          <w:tab w:val="left" w:pos="0"/>
        </w:tabs>
        <w:ind w:left="0" w:firstLine="0"/>
        <w:rPr>
          <w:rFonts w:cs="Arial"/>
        </w:rPr>
      </w:pPr>
      <w:r>
        <w:rPr>
          <w:rFonts w:cs="Arial"/>
        </w:rPr>
        <w:t>La Intendencia ha contratado a una Contadora Pública a efectos de poner en funcionamiento la Unidad de Auditoría Interna.</w:t>
      </w:r>
    </w:p>
    <w:p w:rsidR="00852D39" w:rsidRDefault="00852D39" w:rsidP="00852D39">
      <w:pPr>
        <w:pStyle w:val="Lista"/>
        <w:tabs>
          <w:tab w:val="left" w:pos="0"/>
        </w:tabs>
        <w:ind w:left="0" w:firstLine="0"/>
        <w:rPr>
          <w:rFonts w:cs="Arial"/>
        </w:rPr>
      </w:pPr>
    </w:p>
    <w:p w:rsidR="00852D39" w:rsidRDefault="00852D39" w:rsidP="00852D39">
      <w:pPr>
        <w:pStyle w:val="Lista"/>
        <w:tabs>
          <w:tab w:val="left" w:pos="0"/>
        </w:tabs>
        <w:ind w:left="0" w:firstLine="0"/>
        <w:rPr>
          <w:rFonts w:cs="Arial"/>
          <w:snapToGrid w:val="0"/>
        </w:rPr>
      </w:pPr>
      <w:r>
        <w:rPr>
          <w:rFonts w:cs="Arial"/>
          <w:b/>
          <w:snapToGrid w:val="0"/>
        </w:rPr>
        <w:t xml:space="preserve">3.4.1.7 Adquisiciones a empresas </w:t>
      </w:r>
      <w:proofErr w:type="spellStart"/>
      <w:r>
        <w:rPr>
          <w:rFonts w:cs="Arial"/>
          <w:b/>
          <w:snapToGrid w:val="0"/>
        </w:rPr>
        <w:t>monotributistas</w:t>
      </w:r>
      <w:proofErr w:type="spellEnd"/>
    </w:p>
    <w:p w:rsidR="00852D39" w:rsidRDefault="00852D39" w:rsidP="00852D39">
      <w:pPr>
        <w:pStyle w:val="Lista"/>
        <w:tabs>
          <w:tab w:val="left" w:pos="0"/>
        </w:tabs>
        <w:ind w:left="0" w:firstLine="0"/>
        <w:rPr>
          <w:rFonts w:cs="Arial"/>
          <w:snapToGrid w:val="0"/>
        </w:rPr>
      </w:pPr>
      <w:r w:rsidRPr="003A77B6">
        <w:rPr>
          <w:rFonts w:cs="Arial"/>
          <w:snapToGrid w:val="0"/>
        </w:rPr>
        <w:t>La Intendencia no</w:t>
      </w:r>
      <w:r>
        <w:rPr>
          <w:rFonts w:cs="Arial"/>
          <w:snapToGrid w:val="0"/>
        </w:rPr>
        <w:t xml:space="preserve"> realizó adquisiciones </w:t>
      </w:r>
      <w:r w:rsidRPr="003A77B6">
        <w:rPr>
          <w:rFonts w:cs="Arial"/>
          <w:snapToGrid w:val="0"/>
        </w:rPr>
        <w:t>a contribuyentes incluidos en el impuesto creado por el Artículo 9 del</w:t>
      </w:r>
      <w:r>
        <w:rPr>
          <w:rFonts w:cs="Arial"/>
          <w:snapToGrid w:val="0"/>
        </w:rPr>
        <w:t xml:space="preserve"> </w:t>
      </w:r>
      <w:r w:rsidRPr="003A77B6">
        <w:rPr>
          <w:rFonts w:cs="Arial"/>
          <w:snapToGrid w:val="0"/>
        </w:rPr>
        <w:t>Decreto Reglamentario 199/07 del Poder Ejecutivo y Decreto Nº 306/07</w:t>
      </w:r>
      <w:r>
        <w:rPr>
          <w:rFonts w:cs="Arial"/>
          <w:snapToGrid w:val="0"/>
        </w:rPr>
        <w:t xml:space="preserve"> (</w:t>
      </w:r>
      <w:proofErr w:type="spellStart"/>
      <w:r>
        <w:rPr>
          <w:rFonts w:cs="Arial"/>
          <w:snapToGrid w:val="0"/>
        </w:rPr>
        <w:t>Monotributo</w:t>
      </w:r>
      <w:proofErr w:type="spellEnd"/>
      <w:r>
        <w:rPr>
          <w:rFonts w:cs="Arial"/>
          <w:snapToGrid w:val="0"/>
        </w:rPr>
        <w:t>)</w:t>
      </w:r>
      <w:r w:rsidRPr="003A77B6">
        <w:rPr>
          <w:rFonts w:cs="Arial"/>
          <w:snapToGrid w:val="0"/>
        </w:rPr>
        <w:t>.</w:t>
      </w:r>
    </w:p>
    <w:p w:rsidR="00852D39" w:rsidRDefault="00852D39" w:rsidP="00852D39">
      <w:pPr>
        <w:pStyle w:val="Lista"/>
        <w:tabs>
          <w:tab w:val="left" w:pos="0"/>
        </w:tabs>
        <w:ind w:left="0" w:firstLine="0"/>
        <w:rPr>
          <w:rFonts w:cs="Arial"/>
        </w:rPr>
      </w:pPr>
    </w:p>
    <w:p w:rsidR="00852D39" w:rsidRDefault="00852D39" w:rsidP="00852D39">
      <w:pPr>
        <w:pStyle w:val="Ttulo3"/>
        <w:spacing w:before="0" w:after="0" w:line="360" w:lineRule="auto"/>
        <w:rPr>
          <w:sz w:val="24"/>
          <w:szCs w:val="24"/>
        </w:rPr>
      </w:pPr>
      <w:bookmarkStart w:id="44" w:name="_Toc275529735"/>
      <w:bookmarkStart w:id="45" w:name="_Toc310000986"/>
      <w:bookmarkStart w:id="46" w:name="_Toc344371173"/>
      <w:r>
        <w:rPr>
          <w:sz w:val="24"/>
          <w:szCs w:val="24"/>
        </w:rPr>
        <w:t>3.4.1.7 Contratación de artistas</w:t>
      </w:r>
      <w:bookmarkEnd w:id="44"/>
      <w:bookmarkEnd w:id="45"/>
      <w:bookmarkEnd w:id="46"/>
    </w:p>
    <w:p w:rsidR="00852D39" w:rsidRDefault="00852D39" w:rsidP="00852D39">
      <w:pPr>
        <w:pStyle w:val="Textoindependiente"/>
        <w:spacing w:after="0" w:line="360" w:lineRule="auto"/>
        <w:rPr>
          <w:rFonts w:cs="Arial"/>
          <w:color w:val="000000"/>
          <w:lang w:eastAsia="ar-SA"/>
        </w:rPr>
      </w:pPr>
      <w:r>
        <w:rPr>
          <w:rFonts w:cs="Arial"/>
          <w:color w:val="000000"/>
          <w:lang w:eastAsia="ar-SA"/>
        </w:rPr>
        <w:t>La contratación de artistas se realizó de acuerdo a la normativa vigente.</w:t>
      </w:r>
    </w:p>
    <w:p w:rsidR="00852D39" w:rsidRPr="00E12D13" w:rsidRDefault="00852D39" w:rsidP="00852D39">
      <w:pPr>
        <w:pStyle w:val="Ttulo2"/>
        <w:spacing w:after="0"/>
        <w:jc w:val="both"/>
        <w:rPr>
          <w:rFonts w:cs="Arial"/>
        </w:rPr>
      </w:pPr>
      <w:bookmarkStart w:id="47" w:name="_Toc84082762"/>
      <w:bookmarkStart w:id="48" w:name="_Toc247944556"/>
      <w:bookmarkStart w:id="49" w:name="_Toc310000960"/>
      <w:bookmarkStart w:id="50" w:name="_Toc344371149"/>
      <w:bookmarkEnd w:id="8"/>
      <w:bookmarkEnd w:id="38"/>
      <w:r w:rsidRPr="00E12D13">
        <w:rPr>
          <w:rFonts w:cs="Arial"/>
        </w:rPr>
        <w:t>3.4.2 Recomendaciones del ejercicio  anterior no cumplidas</w:t>
      </w:r>
      <w:bookmarkEnd w:id="47"/>
      <w:bookmarkEnd w:id="48"/>
      <w:bookmarkEnd w:id="49"/>
      <w:bookmarkEnd w:id="50"/>
    </w:p>
    <w:p w:rsidR="00852D39" w:rsidRDefault="00852D39" w:rsidP="00852D39">
      <w:pPr>
        <w:pStyle w:val="Textoindependiente"/>
        <w:spacing w:after="0"/>
        <w:rPr>
          <w:lang w:val="es-ES"/>
        </w:rPr>
      </w:pPr>
    </w:p>
    <w:p w:rsidR="00852D39" w:rsidRDefault="00852D39" w:rsidP="00852D39">
      <w:pPr>
        <w:pStyle w:val="Ttulo3"/>
        <w:spacing w:before="0" w:after="0" w:line="360" w:lineRule="auto"/>
        <w:rPr>
          <w:sz w:val="24"/>
          <w:szCs w:val="24"/>
        </w:rPr>
      </w:pPr>
      <w:bookmarkStart w:id="51" w:name="_Toc247944564"/>
      <w:bookmarkStart w:id="52" w:name="_Toc310000961"/>
      <w:bookmarkStart w:id="53" w:name="_Toc344371150"/>
      <w:bookmarkStart w:id="54" w:name="_Toc84082763"/>
      <w:bookmarkStart w:id="55" w:name="_Toc247944557"/>
      <w:r>
        <w:rPr>
          <w:sz w:val="24"/>
          <w:szCs w:val="24"/>
        </w:rPr>
        <w:t>3.4.2.1 Estructura orgánica</w:t>
      </w:r>
      <w:bookmarkEnd w:id="51"/>
      <w:bookmarkEnd w:id="52"/>
      <w:bookmarkEnd w:id="53"/>
      <w:r>
        <w:rPr>
          <w:sz w:val="24"/>
          <w:szCs w:val="24"/>
        </w:rPr>
        <w:t xml:space="preserve"> </w:t>
      </w:r>
    </w:p>
    <w:p w:rsidR="00852D39" w:rsidRDefault="00852D39" w:rsidP="00852D39">
      <w:pPr>
        <w:spacing w:line="360" w:lineRule="auto"/>
        <w:jc w:val="both"/>
        <w:rPr>
          <w:rFonts w:cs="Arial"/>
          <w:color w:val="000000"/>
        </w:rPr>
      </w:pPr>
      <w:r>
        <w:rPr>
          <w:rFonts w:cs="Arial"/>
        </w:rPr>
        <w:t xml:space="preserve">A efectos de cumplir con la estructura orgánica aprobada por la Junta Departamental en el Presupuesto Quinquenal vigente, </w:t>
      </w:r>
      <w:r>
        <w:rPr>
          <w:rFonts w:cs="Arial"/>
          <w:color w:val="000000"/>
        </w:rPr>
        <w:t>la Intendencia deberá ajustar el número de funcionarios por programa, respetando los escalafones y cargos aprobados.</w:t>
      </w:r>
    </w:p>
    <w:p w:rsidR="00852D39" w:rsidRDefault="00852D39" w:rsidP="00852D39">
      <w:pPr>
        <w:spacing w:line="360" w:lineRule="auto"/>
        <w:jc w:val="both"/>
        <w:rPr>
          <w:rFonts w:cs="Arial"/>
          <w:color w:val="000000"/>
        </w:rPr>
      </w:pPr>
    </w:p>
    <w:p w:rsidR="00852D39" w:rsidRDefault="00852D39" w:rsidP="00852D39">
      <w:pPr>
        <w:pStyle w:val="Ttulo3"/>
        <w:spacing w:before="0" w:after="0" w:line="360" w:lineRule="auto"/>
        <w:rPr>
          <w:sz w:val="24"/>
          <w:szCs w:val="24"/>
        </w:rPr>
      </w:pPr>
      <w:bookmarkStart w:id="56" w:name="_Toc247944579"/>
      <w:bookmarkStart w:id="57" w:name="_Toc310000962"/>
      <w:bookmarkStart w:id="58" w:name="_Toc344371151"/>
      <w:r>
        <w:rPr>
          <w:sz w:val="24"/>
          <w:szCs w:val="24"/>
        </w:rPr>
        <w:t>3.4.2.2</w:t>
      </w:r>
      <w:bookmarkEnd w:id="56"/>
      <w:r>
        <w:rPr>
          <w:sz w:val="24"/>
          <w:szCs w:val="24"/>
        </w:rPr>
        <w:t xml:space="preserve"> Asignaciones presupuestales</w:t>
      </w:r>
      <w:bookmarkEnd w:id="57"/>
      <w:bookmarkEnd w:id="58"/>
    </w:p>
    <w:p w:rsidR="00852D39" w:rsidRDefault="00852D39" w:rsidP="00852D39">
      <w:pPr>
        <w:pStyle w:val="Textoindependiente"/>
        <w:spacing w:after="0" w:line="360" w:lineRule="auto"/>
        <w:rPr>
          <w:rFonts w:cs="Arial"/>
          <w:lang w:val="es-ES"/>
        </w:rPr>
      </w:pPr>
      <w:r>
        <w:rPr>
          <w:rFonts w:cs="Arial"/>
          <w:lang w:val="es-ES"/>
        </w:rPr>
        <w:t>Para la ejecución del Presupuesto así como para la presentación en la Rendición de Cuentas, deben utilizarse como asignaciones presupuestales las aproba</w:t>
      </w:r>
      <w:r w:rsidR="00296EF5">
        <w:rPr>
          <w:rFonts w:cs="Arial"/>
          <w:lang w:val="es-ES"/>
        </w:rPr>
        <w:t>das por la Junta Departamental.</w:t>
      </w:r>
    </w:p>
    <w:p w:rsidR="00852D39" w:rsidRDefault="00852D39" w:rsidP="00852D39">
      <w:pPr>
        <w:pStyle w:val="Textoindependiente"/>
        <w:spacing w:after="0" w:line="360" w:lineRule="auto"/>
        <w:rPr>
          <w:rFonts w:cs="Arial"/>
          <w:lang w:val="es-ES"/>
        </w:rPr>
      </w:pPr>
    </w:p>
    <w:p w:rsidR="00852D39" w:rsidRDefault="00852D39" w:rsidP="00852D39">
      <w:pPr>
        <w:pStyle w:val="Ttulo3"/>
        <w:spacing w:before="0" w:after="0" w:line="360" w:lineRule="auto"/>
        <w:rPr>
          <w:sz w:val="24"/>
          <w:szCs w:val="24"/>
        </w:rPr>
      </w:pPr>
      <w:bookmarkStart w:id="59" w:name="_Toc310000963"/>
      <w:bookmarkStart w:id="60" w:name="_Toc344371152"/>
      <w:r>
        <w:rPr>
          <w:sz w:val="24"/>
          <w:szCs w:val="24"/>
        </w:rPr>
        <w:t>3.4.2.3 Excesos de gastos</w:t>
      </w:r>
      <w:bookmarkEnd w:id="54"/>
      <w:bookmarkEnd w:id="55"/>
      <w:bookmarkEnd w:id="59"/>
      <w:bookmarkEnd w:id="60"/>
    </w:p>
    <w:p w:rsidR="00852D39" w:rsidRDefault="00852D39" w:rsidP="00852D39">
      <w:pPr>
        <w:pStyle w:val="Lista"/>
        <w:ind w:left="0" w:firstLine="0"/>
        <w:rPr>
          <w:rFonts w:cs="Arial"/>
          <w:lang w:val="es-ES"/>
        </w:rPr>
      </w:pPr>
      <w:r>
        <w:rPr>
          <w:rFonts w:cs="Arial"/>
          <w:lang w:val="es-ES"/>
        </w:rPr>
        <w:t>A efectos de no comprometer gastos, cuando no existe crédito presupuestal disponible, sería conveniente recurrir al mecanismo de trasposición de objetos, aplicando las normas presupu</w:t>
      </w:r>
      <w:r w:rsidR="00296EF5">
        <w:rPr>
          <w:rFonts w:cs="Arial"/>
          <w:lang w:val="es-ES"/>
        </w:rPr>
        <w:t>estales vigentes en la materia.</w:t>
      </w:r>
    </w:p>
    <w:p w:rsidR="00852D39" w:rsidRDefault="00852D39" w:rsidP="00852D39">
      <w:pPr>
        <w:pStyle w:val="Lista"/>
        <w:ind w:left="0" w:firstLine="0"/>
        <w:rPr>
          <w:rFonts w:cs="Arial"/>
          <w:lang w:val="es-ES"/>
        </w:rPr>
      </w:pPr>
    </w:p>
    <w:p w:rsidR="00852D39" w:rsidRDefault="00852D39" w:rsidP="00852D39">
      <w:pPr>
        <w:pStyle w:val="Ttulo3"/>
        <w:spacing w:before="0" w:after="0" w:line="360" w:lineRule="auto"/>
        <w:rPr>
          <w:sz w:val="24"/>
          <w:szCs w:val="24"/>
        </w:rPr>
      </w:pPr>
      <w:bookmarkStart w:id="61" w:name="_Toc83032176"/>
      <w:bookmarkStart w:id="62" w:name="_Toc84082772"/>
      <w:bookmarkStart w:id="63" w:name="_Toc247944559"/>
      <w:bookmarkStart w:id="64" w:name="_Toc310000964"/>
      <w:bookmarkStart w:id="65" w:name="_Toc344371153"/>
      <w:r>
        <w:rPr>
          <w:sz w:val="24"/>
          <w:szCs w:val="24"/>
        </w:rPr>
        <w:t>3.4.2.4 Contratación de suministros y servicios</w:t>
      </w:r>
      <w:bookmarkEnd w:id="61"/>
      <w:bookmarkEnd w:id="62"/>
      <w:bookmarkEnd w:id="63"/>
      <w:bookmarkEnd w:id="64"/>
      <w:bookmarkEnd w:id="65"/>
    </w:p>
    <w:p w:rsidR="00852D39" w:rsidRPr="00897A2D" w:rsidRDefault="00852D39" w:rsidP="00852D39">
      <w:pPr>
        <w:spacing w:line="360" w:lineRule="auto"/>
        <w:jc w:val="both"/>
        <w:rPr>
          <w:szCs w:val="20"/>
        </w:rPr>
      </w:pPr>
      <w:r w:rsidRPr="00897A2D">
        <w:rPr>
          <w:rFonts w:cs="Arial"/>
          <w:szCs w:val="20"/>
        </w:rPr>
        <w:t>Para poder dar cumplimiento a lo dispuesto por el Artículo 43 del TOCAF, la Intendencia deberá adoptar las medidas necesarias para contratar los suministros o servicios por grupos de artículos o servicios, de forma de facilitar la presentación del mayor número posible de oferentes, teniendo en cuenta el procedimiento de contratación que corresponda de acuerdo a lo establecido en el Artículo 33 del TOCAF. Sin perjuicio de lo dispuesto precedentemente, los ordenadores, bajo su responsabilidad, podrán fraccionar las compras dejando expresa constancia de su fundamento y de su conveniencia para el servicio, tal como lo dispone la mencionada norma</w:t>
      </w:r>
      <w:r w:rsidRPr="00897A2D">
        <w:rPr>
          <w:szCs w:val="20"/>
        </w:rPr>
        <w:t>.</w:t>
      </w:r>
    </w:p>
    <w:p w:rsidR="00852D39" w:rsidRPr="00897A2D" w:rsidRDefault="00852D39" w:rsidP="00852D39">
      <w:pPr>
        <w:pStyle w:val="Textoindependiente"/>
        <w:spacing w:after="0" w:line="360" w:lineRule="auto"/>
        <w:rPr>
          <w:rFonts w:cs="Arial"/>
          <w:lang w:val="es-ES"/>
        </w:rPr>
      </w:pPr>
    </w:p>
    <w:p w:rsidR="00852D39" w:rsidRDefault="00852D39" w:rsidP="00852D39">
      <w:pPr>
        <w:pStyle w:val="Ttulo3"/>
        <w:spacing w:before="0" w:after="0" w:line="360" w:lineRule="auto"/>
        <w:rPr>
          <w:sz w:val="24"/>
          <w:szCs w:val="24"/>
        </w:rPr>
      </w:pPr>
      <w:bookmarkStart w:id="66" w:name="_Toc247944565"/>
      <w:bookmarkStart w:id="67" w:name="_Toc310000965"/>
      <w:bookmarkStart w:id="68" w:name="_Toc344371154"/>
      <w:r>
        <w:rPr>
          <w:sz w:val="24"/>
          <w:szCs w:val="24"/>
        </w:rPr>
        <w:t>3.4.2.5 Imputaciones contables</w:t>
      </w:r>
      <w:bookmarkEnd w:id="66"/>
      <w:bookmarkEnd w:id="67"/>
      <w:bookmarkEnd w:id="68"/>
    </w:p>
    <w:p w:rsidR="00852D39" w:rsidRDefault="00852D39" w:rsidP="00852D39">
      <w:pPr>
        <w:pStyle w:val="Textoindependiente"/>
        <w:spacing w:after="0" w:line="360" w:lineRule="auto"/>
        <w:rPr>
          <w:rFonts w:cs="Arial"/>
          <w:kern w:val="0"/>
          <w:szCs w:val="24"/>
          <w:lang w:val="es-ES"/>
        </w:rPr>
      </w:pPr>
      <w:r>
        <w:rPr>
          <w:rFonts w:cs="Arial"/>
          <w:kern w:val="0"/>
          <w:szCs w:val="24"/>
          <w:lang w:val="es-ES"/>
        </w:rPr>
        <w:t>La Intendencia deberá ajustar el funcionamiento de su sistema contable e implementar los controles necesarios para lograr una correcta exposición de los créditos así como de los gastos ejecutados en el ejercicio.</w:t>
      </w:r>
    </w:p>
    <w:p w:rsidR="00852D39" w:rsidRDefault="00852D39" w:rsidP="00852D39">
      <w:pPr>
        <w:pStyle w:val="Textoindependiente"/>
        <w:spacing w:after="0" w:line="360" w:lineRule="auto"/>
        <w:rPr>
          <w:rFonts w:cs="Arial"/>
          <w:kern w:val="0"/>
          <w:szCs w:val="24"/>
          <w:lang w:val="es-ES"/>
        </w:rPr>
      </w:pPr>
    </w:p>
    <w:p w:rsidR="00852D39" w:rsidRDefault="00852D39" w:rsidP="00852D39">
      <w:pPr>
        <w:pStyle w:val="Ttulo3"/>
        <w:spacing w:before="0" w:after="0" w:line="360" w:lineRule="auto"/>
        <w:rPr>
          <w:sz w:val="24"/>
          <w:szCs w:val="24"/>
        </w:rPr>
      </w:pPr>
      <w:bookmarkStart w:id="69" w:name="_Toc177803260"/>
      <w:bookmarkStart w:id="70" w:name="_Toc247944571"/>
      <w:bookmarkStart w:id="71" w:name="_Toc310000969"/>
      <w:bookmarkStart w:id="72" w:name="_Toc344371157"/>
      <w:r>
        <w:rPr>
          <w:sz w:val="24"/>
          <w:szCs w:val="24"/>
        </w:rPr>
        <w:t>3.4.2.6 Concesiones</w:t>
      </w:r>
      <w:bookmarkEnd w:id="69"/>
      <w:bookmarkEnd w:id="70"/>
      <w:bookmarkEnd w:id="71"/>
      <w:bookmarkEnd w:id="72"/>
    </w:p>
    <w:p w:rsidR="00852D39" w:rsidRDefault="00852D39" w:rsidP="00852D39">
      <w:pPr>
        <w:pStyle w:val="Textoindependiente"/>
        <w:spacing w:after="0" w:line="360" w:lineRule="auto"/>
        <w:rPr>
          <w:rFonts w:cs="Arial"/>
          <w:kern w:val="0"/>
          <w:szCs w:val="24"/>
          <w:lang w:val="es-ES"/>
        </w:rPr>
      </w:pPr>
      <w:r>
        <w:rPr>
          <w:rFonts w:cs="Arial"/>
          <w:kern w:val="0"/>
          <w:szCs w:val="24"/>
          <w:lang w:val="es-ES"/>
        </w:rPr>
        <w:t>A efectos de dar cumplimiento a lo dispuesto por la Resolución de este Tribunal del 11/05/05, previamente a aprobar, modificar o rescindir concesiones contractuales de obras o de servicios deberán remitirse los antecedentes a este Tribunal.</w:t>
      </w:r>
    </w:p>
    <w:p w:rsidR="00852D39" w:rsidRDefault="00852D39" w:rsidP="00852D39">
      <w:pPr>
        <w:pStyle w:val="Textoindependiente"/>
        <w:spacing w:after="0" w:line="360" w:lineRule="auto"/>
        <w:rPr>
          <w:rFonts w:cs="Arial"/>
        </w:rPr>
      </w:pPr>
      <w:r>
        <w:rPr>
          <w:rFonts w:cs="Arial"/>
        </w:rPr>
        <w:t xml:space="preserve">Asimismo se deben comunicar a este Tribunal, antes del 31 de enero y del 31 de julio de cada año, los informes correspondientes </w:t>
      </w:r>
      <w:proofErr w:type="gramStart"/>
      <w:r>
        <w:rPr>
          <w:rFonts w:cs="Arial"/>
        </w:rPr>
        <w:t>al semestre anterior realizados</w:t>
      </w:r>
      <w:proofErr w:type="gramEnd"/>
      <w:r>
        <w:rPr>
          <w:rFonts w:cs="Arial"/>
        </w:rPr>
        <w:t xml:space="preserve"> por las Comisiones de Control u Oficinas que tengan a su cargo la verifica</w:t>
      </w:r>
      <w:r>
        <w:rPr>
          <w:rFonts w:cs="Arial"/>
        </w:rPr>
        <w:softHyphen/>
        <w:t xml:space="preserve">ción del cumplimiento de </w:t>
      </w:r>
      <w:r w:rsidR="00FF53CD">
        <w:rPr>
          <w:rFonts w:cs="Arial"/>
        </w:rPr>
        <w:t>los contratos correspondientes.</w:t>
      </w:r>
    </w:p>
    <w:p w:rsidR="00852D39" w:rsidRDefault="00852D39" w:rsidP="00852D39">
      <w:pPr>
        <w:pStyle w:val="Textoindependiente"/>
        <w:spacing w:after="0" w:line="360" w:lineRule="auto"/>
        <w:rPr>
          <w:rFonts w:cs="Arial"/>
        </w:rPr>
      </w:pPr>
    </w:p>
    <w:p w:rsidR="00852D39" w:rsidRDefault="00852D39" w:rsidP="00852D39">
      <w:pPr>
        <w:pStyle w:val="Ttulo3"/>
        <w:spacing w:before="0" w:after="0" w:line="360" w:lineRule="auto"/>
        <w:rPr>
          <w:sz w:val="24"/>
          <w:szCs w:val="24"/>
        </w:rPr>
      </w:pPr>
      <w:bookmarkStart w:id="73" w:name="_Toc237163243"/>
      <w:bookmarkStart w:id="74" w:name="_Toc247944576"/>
      <w:bookmarkStart w:id="75" w:name="_Toc310000971"/>
      <w:bookmarkStart w:id="76" w:name="_Toc344371159"/>
      <w:r>
        <w:rPr>
          <w:sz w:val="24"/>
          <w:szCs w:val="24"/>
        </w:rPr>
        <w:t>3.4.2.7 Compendio de normas</w:t>
      </w:r>
      <w:bookmarkEnd w:id="73"/>
      <w:bookmarkEnd w:id="74"/>
      <w:bookmarkEnd w:id="75"/>
      <w:bookmarkEnd w:id="76"/>
    </w:p>
    <w:p w:rsidR="00852D39" w:rsidRDefault="00852D39" w:rsidP="00852D39">
      <w:pPr>
        <w:pStyle w:val="Textoindependiente"/>
        <w:spacing w:after="0" w:line="360" w:lineRule="auto"/>
        <w:rPr>
          <w:rFonts w:cs="Arial"/>
        </w:rPr>
      </w:pPr>
      <w:r>
        <w:rPr>
          <w:rFonts w:cs="Arial"/>
        </w:rPr>
        <w:t>Deberá mantenerse actualizado un compendio normativo de la totalidad de las partidas de carácter salarial abonadas a los funcionarios así como la totalidad de las normas tributarias.</w:t>
      </w:r>
    </w:p>
    <w:p w:rsidR="00852D39" w:rsidRDefault="00852D39" w:rsidP="00852D39">
      <w:pPr>
        <w:pStyle w:val="Textoindependiente"/>
        <w:spacing w:after="0" w:line="360" w:lineRule="auto"/>
        <w:rPr>
          <w:rFonts w:cs="Arial"/>
        </w:rPr>
      </w:pPr>
    </w:p>
    <w:p w:rsidR="00852D39" w:rsidRDefault="00852D39" w:rsidP="00852D39">
      <w:pPr>
        <w:pStyle w:val="Ttulo3"/>
        <w:spacing w:before="0" w:after="0" w:line="360" w:lineRule="auto"/>
        <w:rPr>
          <w:sz w:val="24"/>
          <w:szCs w:val="24"/>
        </w:rPr>
      </w:pPr>
      <w:bookmarkStart w:id="77" w:name="_Toc247944580"/>
      <w:bookmarkStart w:id="78" w:name="_Toc310000973"/>
      <w:bookmarkStart w:id="79" w:name="_Toc344371161"/>
      <w:r>
        <w:rPr>
          <w:sz w:val="24"/>
          <w:szCs w:val="24"/>
        </w:rPr>
        <w:t>3.4.2.8 Contratos de arrendamiento de servicios</w:t>
      </w:r>
      <w:bookmarkEnd w:id="77"/>
      <w:bookmarkEnd w:id="78"/>
      <w:bookmarkEnd w:id="79"/>
    </w:p>
    <w:p w:rsidR="00852D39" w:rsidRDefault="00852D39" w:rsidP="00852D39">
      <w:pPr>
        <w:spacing w:line="360" w:lineRule="auto"/>
        <w:jc w:val="both"/>
        <w:rPr>
          <w:rFonts w:cs="Arial"/>
        </w:rPr>
      </w:pPr>
      <w:r>
        <w:rPr>
          <w:rFonts w:cs="Arial"/>
        </w:rPr>
        <w:t>Se debe abonar a los contratados el monto establecido en las resoluciones respectivas, o actualizar por medio de nuevas resoluciones las condiciones y mont</w:t>
      </w:r>
      <w:r w:rsidR="00FF53CD">
        <w:rPr>
          <w:rFonts w:cs="Arial"/>
        </w:rPr>
        <w:t>os que efectivamente se abonan.</w:t>
      </w:r>
    </w:p>
    <w:p w:rsidR="00852D39" w:rsidRDefault="00852D39" w:rsidP="00852D39">
      <w:pPr>
        <w:spacing w:line="360" w:lineRule="auto"/>
        <w:jc w:val="both"/>
        <w:rPr>
          <w:rFonts w:cs="Arial"/>
          <w:shd w:val="clear" w:color="auto" w:fill="FFCC99"/>
        </w:rPr>
      </w:pPr>
    </w:p>
    <w:p w:rsidR="00852D39" w:rsidRDefault="00852D39" w:rsidP="00852D39">
      <w:pPr>
        <w:pStyle w:val="Ttulo3"/>
        <w:spacing w:before="0" w:after="0" w:line="360" w:lineRule="auto"/>
        <w:rPr>
          <w:sz w:val="24"/>
          <w:szCs w:val="24"/>
        </w:rPr>
      </w:pPr>
      <w:bookmarkStart w:id="80" w:name="_Toc310000975"/>
      <w:bookmarkStart w:id="81" w:name="_Toc344371162"/>
      <w:r>
        <w:rPr>
          <w:sz w:val="24"/>
          <w:szCs w:val="24"/>
        </w:rPr>
        <w:t>3.4.2.9 Partidas salariales</w:t>
      </w:r>
      <w:bookmarkEnd w:id="80"/>
      <w:bookmarkEnd w:id="81"/>
    </w:p>
    <w:p w:rsidR="00852D39" w:rsidRDefault="00852D39" w:rsidP="00852D39">
      <w:pPr>
        <w:pStyle w:val="Textoindependiente"/>
        <w:spacing w:after="0" w:line="360" w:lineRule="auto"/>
        <w:rPr>
          <w:rFonts w:cs="Arial"/>
          <w:color w:val="000000"/>
          <w:lang w:eastAsia="ar-SA"/>
        </w:rPr>
      </w:pPr>
      <w:r>
        <w:rPr>
          <w:rFonts w:cs="Arial"/>
          <w:color w:val="000000"/>
          <w:lang w:eastAsia="ar-SA"/>
        </w:rPr>
        <w:t>Se debe tener presente que de acuerdo con lo dispuesto por el Artículo 86 de la Constitución de la República, todas las partidas de carácter salarial que se abonen a los funcionarios deben ser previstas en una instancia presupuestal.</w:t>
      </w:r>
    </w:p>
    <w:p w:rsidR="00852D39" w:rsidRDefault="00852D39" w:rsidP="00852D39">
      <w:pPr>
        <w:pStyle w:val="Textoindependiente"/>
        <w:spacing w:after="0" w:line="360" w:lineRule="auto"/>
        <w:rPr>
          <w:rFonts w:cs="Arial"/>
          <w:color w:val="000000"/>
          <w:lang w:eastAsia="ar-SA"/>
        </w:rPr>
      </w:pPr>
    </w:p>
    <w:p w:rsidR="00852D39" w:rsidRDefault="00852D39" w:rsidP="00852D39">
      <w:pPr>
        <w:pStyle w:val="Ttulo3"/>
        <w:spacing w:before="0" w:after="0" w:line="360" w:lineRule="auto"/>
        <w:rPr>
          <w:sz w:val="24"/>
          <w:szCs w:val="24"/>
        </w:rPr>
      </w:pPr>
      <w:bookmarkStart w:id="82" w:name="_Toc177977170"/>
      <w:bookmarkStart w:id="83" w:name="_Toc275529713"/>
      <w:bookmarkStart w:id="84" w:name="_Toc310000976"/>
      <w:bookmarkStart w:id="85" w:name="_Toc344371163"/>
      <w:r>
        <w:rPr>
          <w:sz w:val="24"/>
          <w:szCs w:val="24"/>
        </w:rPr>
        <w:t>3.4.2.10 Intervención preventiva de gastos  y pagos</w:t>
      </w:r>
      <w:bookmarkEnd w:id="82"/>
      <w:bookmarkEnd w:id="83"/>
      <w:bookmarkEnd w:id="84"/>
      <w:bookmarkEnd w:id="85"/>
    </w:p>
    <w:p w:rsidR="00852D39" w:rsidRDefault="00852D39" w:rsidP="00852D39">
      <w:pPr>
        <w:pStyle w:val="Textoindependiente"/>
        <w:spacing w:after="0" w:line="360" w:lineRule="auto"/>
        <w:rPr>
          <w:lang w:val="es-ES"/>
        </w:rPr>
      </w:pPr>
      <w:r>
        <w:rPr>
          <w:lang w:val="es-ES"/>
        </w:rPr>
        <w:t>Todos los gastos y pagos de la Intendencia deben ser sometidos a la intervención preventiva del Tribunal de Cuentas y, en caso de observación, deben ser reiterados por el Ordenador competente, tal como lo establece el Artículo 211 Literal B) de la Constitución de la República. Asimismo, se debe cumplir con lo dispuesto por el Artículo 87 del TOCAF, que establece que le queda prohibido a la Tesorería realizar pagos o entregas de dinero sin que la documentación haya sido previamente intervenida por el Órgano de Contralor. Corresponde señalar que en el Ejercicio 2013, los incumplimientos referidos a este tema, se han reducido sensiblemente con respecto a ejerc</w:t>
      </w:r>
      <w:r w:rsidR="00FF53CD">
        <w:rPr>
          <w:lang w:val="es-ES"/>
        </w:rPr>
        <w:t>icios anteriores.</w:t>
      </w:r>
    </w:p>
    <w:p w:rsidR="00852D39" w:rsidRDefault="00852D39" w:rsidP="00852D39">
      <w:pPr>
        <w:pStyle w:val="Textoindependiente"/>
        <w:spacing w:after="0" w:line="360" w:lineRule="auto"/>
        <w:rPr>
          <w:lang w:val="es-ES"/>
        </w:rPr>
      </w:pPr>
    </w:p>
    <w:p w:rsidR="00852D39" w:rsidRDefault="00852D39" w:rsidP="00852D39">
      <w:pPr>
        <w:pStyle w:val="Ttulo3"/>
        <w:spacing w:before="0" w:after="0" w:line="360" w:lineRule="auto"/>
        <w:rPr>
          <w:sz w:val="24"/>
          <w:szCs w:val="24"/>
        </w:rPr>
      </w:pPr>
      <w:bookmarkStart w:id="86" w:name="_Toc207184783"/>
      <w:bookmarkStart w:id="87" w:name="_Toc275529715"/>
      <w:bookmarkStart w:id="88" w:name="_Toc310000977"/>
      <w:bookmarkStart w:id="89" w:name="_Toc344371164"/>
      <w:r>
        <w:rPr>
          <w:sz w:val="24"/>
          <w:szCs w:val="24"/>
        </w:rPr>
        <w:t>3.4.2.11 Multas en Contribución Inmobiliaria Rural</w:t>
      </w:r>
      <w:bookmarkEnd w:id="86"/>
      <w:bookmarkEnd w:id="87"/>
      <w:bookmarkEnd w:id="88"/>
      <w:bookmarkEnd w:id="89"/>
    </w:p>
    <w:p w:rsidR="00852D39" w:rsidRDefault="00852D39" w:rsidP="00852D39">
      <w:pPr>
        <w:tabs>
          <w:tab w:val="center" w:pos="4252"/>
          <w:tab w:val="right" w:pos="8504"/>
        </w:tabs>
        <w:spacing w:line="360" w:lineRule="auto"/>
        <w:jc w:val="both"/>
        <w:rPr>
          <w:szCs w:val="20"/>
          <w:lang w:val="es-ES_tradnl"/>
        </w:rPr>
      </w:pPr>
      <w:r>
        <w:rPr>
          <w:szCs w:val="20"/>
          <w:lang w:val="es-ES_tradnl"/>
        </w:rPr>
        <w:t>Las multas que se apliquen a la Contribución Inmobiliaria Rural deberán regirse por lo que establecen los Artículo 93 y 94 del Código Tributario, y Artículo 470 de la Ley N° 17.930.</w:t>
      </w:r>
    </w:p>
    <w:p w:rsidR="00852D39" w:rsidRDefault="00852D39" w:rsidP="00852D39">
      <w:pPr>
        <w:pStyle w:val="Textoindependiente"/>
        <w:spacing w:after="0" w:line="360" w:lineRule="auto"/>
      </w:pPr>
      <w:r>
        <w:rPr>
          <w:kern w:val="0"/>
        </w:rPr>
        <w:t>Se debe tener presente que la multa por mora tiene naturaleza punitiva, por lo tanto, su establecimiento así como su exoneración y/o quitas corresponden a la ley nacional, no siendo materia de regulación municipal. L</w:t>
      </w:r>
      <w:r>
        <w:t>a legislación nacional establece el porcentaje de multas a aplicar por mora. La multa sobre el tributo no pagado en plazo será:</w:t>
      </w:r>
    </w:p>
    <w:p w:rsidR="00852D39" w:rsidRDefault="00852D39" w:rsidP="00852D39">
      <w:pPr>
        <w:numPr>
          <w:ilvl w:val="0"/>
          <w:numId w:val="2"/>
        </w:numPr>
        <w:spacing w:line="360" w:lineRule="auto"/>
        <w:jc w:val="both"/>
        <w:rPr>
          <w:rFonts w:cs="Arial"/>
        </w:rPr>
      </w:pPr>
      <w:r>
        <w:rPr>
          <w:rFonts w:cs="Arial"/>
        </w:rPr>
        <w:t>5% cuando el tributo se abonare dentro de los cinco días hábiles  siguientes al de su vencimiento.</w:t>
      </w:r>
    </w:p>
    <w:p w:rsidR="00852D39" w:rsidRDefault="00852D39" w:rsidP="00852D39">
      <w:pPr>
        <w:numPr>
          <w:ilvl w:val="0"/>
          <w:numId w:val="2"/>
        </w:numPr>
        <w:spacing w:line="360" w:lineRule="auto"/>
        <w:jc w:val="both"/>
        <w:rPr>
          <w:rFonts w:cs="Arial"/>
        </w:rPr>
      </w:pPr>
      <w:r>
        <w:rPr>
          <w:rFonts w:cs="Arial"/>
        </w:rPr>
        <w:t>10% cuando el tributo se abonare con posterioridad a los cinco días hábiles siguientes y hasta los noventa días corridos de su vencimiento.</w:t>
      </w:r>
    </w:p>
    <w:p w:rsidR="00852D39" w:rsidRDefault="00852D39" w:rsidP="00852D39">
      <w:pPr>
        <w:numPr>
          <w:ilvl w:val="0"/>
          <w:numId w:val="2"/>
        </w:numPr>
        <w:spacing w:line="360" w:lineRule="auto"/>
        <w:jc w:val="both"/>
        <w:rPr>
          <w:rFonts w:cs="Arial"/>
        </w:rPr>
      </w:pPr>
      <w:r>
        <w:rPr>
          <w:rFonts w:cs="Arial"/>
        </w:rPr>
        <w:t>20% cuando el tributo se abonare con posterioridad a los noventa días corridos de su vencimiento.</w:t>
      </w:r>
    </w:p>
    <w:p w:rsidR="00852D39" w:rsidRDefault="00852D39" w:rsidP="00852D39">
      <w:pPr>
        <w:pStyle w:val="Textoindependiente"/>
        <w:spacing w:after="0" w:line="360" w:lineRule="auto"/>
        <w:rPr>
          <w:rFonts w:cs="Arial"/>
          <w:kern w:val="0"/>
          <w:szCs w:val="24"/>
          <w:lang w:val="es-ES"/>
        </w:rPr>
      </w:pPr>
      <w:r>
        <w:rPr>
          <w:rFonts w:cs="Arial"/>
          <w:kern w:val="0"/>
          <w:szCs w:val="24"/>
          <w:lang w:val="es-ES"/>
        </w:rPr>
        <w:t>Cuando se soliciten facilidades de pago dentro del término establecido para abonar el tributo la multa será del 10%.</w:t>
      </w:r>
    </w:p>
    <w:p w:rsidR="00852D39" w:rsidRDefault="00852D39" w:rsidP="00852D39">
      <w:pPr>
        <w:pStyle w:val="Textoindependiente"/>
        <w:spacing w:after="0" w:line="360" w:lineRule="auto"/>
        <w:rPr>
          <w:rFonts w:cs="Arial"/>
          <w:kern w:val="0"/>
          <w:szCs w:val="24"/>
          <w:lang w:val="es-ES"/>
        </w:rPr>
      </w:pPr>
    </w:p>
    <w:p w:rsidR="00852D39" w:rsidRDefault="00852D39" w:rsidP="00852D39">
      <w:pPr>
        <w:pStyle w:val="Ttulo3"/>
        <w:spacing w:before="0" w:after="0" w:line="360" w:lineRule="auto"/>
        <w:jc w:val="both"/>
        <w:rPr>
          <w:sz w:val="24"/>
          <w:szCs w:val="24"/>
        </w:rPr>
      </w:pPr>
      <w:bookmarkStart w:id="90" w:name="_Toc207184771"/>
      <w:bookmarkStart w:id="91" w:name="_Toc275529718"/>
      <w:bookmarkStart w:id="92" w:name="_Toc310000978"/>
      <w:bookmarkStart w:id="93" w:name="_Toc344371165"/>
      <w:r>
        <w:rPr>
          <w:sz w:val="24"/>
          <w:szCs w:val="24"/>
        </w:rPr>
        <w:t>3.4.2.12 Gastos y pagos</w:t>
      </w:r>
      <w:bookmarkEnd w:id="90"/>
      <w:bookmarkEnd w:id="91"/>
      <w:bookmarkEnd w:id="92"/>
      <w:bookmarkEnd w:id="93"/>
    </w:p>
    <w:p w:rsidR="00852D39" w:rsidRDefault="00852D39" w:rsidP="00852D39">
      <w:pPr>
        <w:pStyle w:val="Textoindependiente"/>
        <w:spacing w:after="0" w:line="360" w:lineRule="auto"/>
        <w:rPr>
          <w:rFonts w:cs="Arial"/>
          <w:kern w:val="0"/>
          <w:szCs w:val="24"/>
          <w:lang w:val="es-ES"/>
        </w:rPr>
      </w:pPr>
      <w:r>
        <w:rPr>
          <w:lang w:val="es-ES"/>
        </w:rPr>
        <w:t>La Intendencia deberá instrumentar los procedimientos correspondientes, a efec</w:t>
      </w:r>
      <w:r>
        <w:rPr>
          <w:lang w:val="es-ES"/>
        </w:rPr>
        <w:softHyphen/>
        <w:t>tos de que todos los gastos en los que incurra y los pagos que efectúe sean autorizados previamente por autoridad competente, como lo disponen los Artículos 14 y 23 del TOCAF. Cabe destacar que en el Ejercicio 2013, los incumplimientos referidos a este tema, se han reducido sensiblemente con res</w:t>
      </w:r>
      <w:r w:rsidR="00FF53CD">
        <w:rPr>
          <w:lang w:val="es-ES"/>
        </w:rPr>
        <w:t>pecto a ejercicios anteriores.</w:t>
      </w:r>
    </w:p>
    <w:p w:rsidR="00852D39" w:rsidRDefault="00852D39" w:rsidP="00852D39">
      <w:pPr>
        <w:pStyle w:val="Textoindependiente"/>
        <w:spacing w:after="0" w:line="360" w:lineRule="auto"/>
        <w:rPr>
          <w:rFonts w:cs="Arial"/>
          <w:lang w:val="es-ES"/>
        </w:rPr>
      </w:pPr>
    </w:p>
    <w:p w:rsidR="00852D39" w:rsidRDefault="00852D39" w:rsidP="00852D39">
      <w:pPr>
        <w:pStyle w:val="Ttulo3"/>
        <w:spacing w:before="0" w:after="0" w:line="360" w:lineRule="auto"/>
        <w:rPr>
          <w:sz w:val="24"/>
          <w:szCs w:val="24"/>
        </w:rPr>
      </w:pPr>
      <w:bookmarkStart w:id="94" w:name="_Toc310000979"/>
      <w:bookmarkStart w:id="95" w:name="_Toc344371166"/>
      <w:r>
        <w:rPr>
          <w:sz w:val="24"/>
          <w:szCs w:val="24"/>
        </w:rPr>
        <w:t>3.4.2.13 Utilización del criterio de lo devengado</w:t>
      </w:r>
      <w:bookmarkEnd w:id="94"/>
      <w:bookmarkEnd w:id="95"/>
    </w:p>
    <w:p w:rsidR="00852D39" w:rsidRDefault="00852D39" w:rsidP="00852D39">
      <w:pPr>
        <w:pStyle w:val="Textoindependiente"/>
        <w:spacing w:after="0" w:line="360" w:lineRule="auto"/>
        <w:rPr>
          <w:kern w:val="0"/>
          <w:szCs w:val="24"/>
          <w:lang w:val="es-ES"/>
        </w:rPr>
      </w:pPr>
      <w:r>
        <w:rPr>
          <w:kern w:val="0"/>
          <w:szCs w:val="24"/>
          <w:lang w:val="es-ES"/>
        </w:rPr>
        <w:t>Debe tenerse presente lo establecido por el Artículo 20 del TOCAF en cuanto a que los créditos presupuestales se considerarán ejecutados cuando se devenguen los gastos para los cuales han sido destinados, independientemente de la fecha del pago. Se destaca que este incumplimiento se ha reducido res</w:t>
      </w:r>
      <w:r w:rsidR="00FF53CD">
        <w:rPr>
          <w:kern w:val="0"/>
          <w:szCs w:val="24"/>
          <w:lang w:val="es-ES"/>
        </w:rPr>
        <w:t>pecto a ejercicios anteriores.</w:t>
      </w:r>
    </w:p>
    <w:p w:rsidR="00852D39" w:rsidRDefault="00852D39" w:rsidP="00852D39">
      <w:pPr>
        <w:pStyle w:val="Textoindependiente"/>
        <w:spacing w:after="0" w:line="360" w:lineRule="auto"/>
        <w:rPr>
          <w:kern w:val="0"/>
          <w:szCs w:val="24"/>
          <w:lang w:val="es-ES"/>
        </w:rPr>
      </w:pPr>
    </w:p>
    <w:p w:rsidR="00852D39" w:rsidRDefault="00852D39" w:rsidP="00852D39">
      <w:pPr>
        <w:pStyle w:val="Ttulo3"/>
        <w:spacing w:before="0" w:after="0" w:line="360" w:lineRule="auto"/>
        <w:rPr>
          <w:sz w:val="24"/>
          <w:szCs w:val="24"/>
        </w:rPr>
      </w:pPr>
      <w:bookmarkStart w:id="96" w:name="_Toc177977175"/>
      <w:bookmarkStart w:id="97" w:name="_Toc275529722"/>
      <w:bookmarkStart w:id="98" w:name="_Toc310000981"/>
      <w:bookmarkStart w:id="99" w:name="_Toc344371168"/>
      <w:r>
        <w:rPr>
          <w:sz w:val="24"/>
          <w:szCs w:val="24"/>
        </w:rPr>
        <w:t>3.4.2.14 Gestión patrimonial</w:t>
      </w:r>
      <w:bookmarkEnd w:id="96"/>
      <w:bookmarkEnd w:id="97"/>
      <w:bookmarkEnd w:id="98"/>
      <w:bookmarkEnd w:id="99"/>
    </w:p>
    <w:p w:rsidR="00852D39" w:rsidRDefault="00852D39" w:rsidP="00852D39">
      <w:pPr>
        <w:widowControl w:val="0"/>
        <w:spacing w:line="360" w:lineRule="auto"/>
        <w:jc w:val="both"/>
        <w:rPr>
          <w:rFonts w:cs="Arial"/>
          <w:color w:val="000000"/>
        </w:rPr>
      </w:pPr>
      <w:r>
        <w:rPr>
          <w:rFonts w:cs="Arial"/>
        </w:rPr>
        <w:t xml:space="preserve">La Comuna deberá dar cumplimiento a lo establecido </w:t>
      </w:r>
      <w:r>
        <w:rPr>
          <w:rFonts w:cs="Arial"/>
          <w:color w:val="000000"/>
        </w:rPr>
        <w:t xml:space="preserve">en el Artículo 94 del TOCAF y formular los estados contables establecidos por la Ordenanza N° 81 </w:t>
      </w:r>
      <w:r w:rsidR="00FF53CD">
        <w:rPr>
          <w:rFonts w:cs="Arial"/>
          <w:color w:val="000000"/>
        </w:rPr>
        <w:t>del Tribunal de Cuentas.</w:t>
      </w:r>
    </w:p>
    <w:p w:rsidR="00852D39" w:rsidRDefault="00852D39" w:rsidP="00852D39">
      <w:pPr>
        <w:widowControl w:val="0"/>
        <w:spacing w:line="360" w:lineRule="auto"/>
        <w:jc w:val="both"/>
        <w:rPr>
          <w:rFonts w:cs="Arial"/>
          <w:color w:val="000000"/>
        </w:rPr>
      </w:pPr>
    </w:p>
    <w:p w:rsidR="00852D39" w:rsidRDefault="00852D39" w:rsidP="00852D39">
      <w:pPr>
        <w:pStyle w:val="Ttulo3"/>
        <w:spacing w:before="0" w:after="0" w:line="360" w:lineRule="auto"/>
        <w:rPr>
          <w:sz w:val="24"/>
          <w:szCs w:val="24"/>
        </w:rPr>
      </w:pPr>
      <w:bookmarkStart w:id="100" w:name="_Toc177977186"/>
      <w:bookmarkStart w:id="101" w:name="_Toc275529723"/>
      <w:bookmarkStart w:id="102" w:name="_Toc310000982"/>
      <w:bookmarkStart w:id="103" w:name="_Toc344371169"/>
      <w:r>
        <w:rPr>
          <w:sz w:val="24"/>
          <w:szCs w:val="24"/>
        </w:rPr>
        <w:t>3.4.2.15 Inventario de bienes de uso</w:t>
      </w:r>
      <w:bookmarkEnd w:id="100"/>
      <w:bookmarkEnd w:id="101"/>
      <w:bookmarkEnd w:id="102"/>
      <w:bookmarkEnd w:id="103"/>
    </w:p>
    <w:p w:rsidR="00852D39" w:rsidRDefault="00852D39" w:rsidP="00852D39">
      <w:pPr>
        <w:pStyle w:val="Textoindependiente"/>
        <w:spacing w:after="0" w:line="360" w:lineRule="auto"/>
        <w:rPr>
          <w:rFonts w:cs="Arial"/>
        </w:rPr>
      </w:pPr>
      <w:r>
        <w:rPr>
          <w:lang w:val="es-ES"/>
        </w:rPr>
        <w:t>Se deberá incluir en el documento de Rendición de Cuentas, copia del inventario de todos los activos que integran el patrimonio del Organismo al cierre del ejercicio. Además la Intendencia debe mantener actualizado dicho inventario tal como lo establece e</w:t>
      </w:r>
      <w:r>
        <w:rPr>
          <w:rFonts w:cs="Arial"/>
          <w:kern w:val="0"/>
        </w:rPr>
        <w:t xml:space="preserve">l Artículo 97 del TOCAF, el cual dispone que, </w:t>
      </w:r>
      <w:r>
        <w:rPr>
          <w:rFonts w:cs="Arial"/>
        </w:rPr>
        <w:t>en cuanto a los acti</w:t>
      </w:r>
      <w:r>
        <w:rPr>
          <w:rFonts w:cs="Arial"/>
        </w:rPr>
        <w:softHyphen/>
        <w:t>vos, el sistema contable debe registrar como mínimo las existencias y movimien</w:t>
      </w:r>
      <w:r>
        <w:rPr>
          <w:rFonts w:cs="Arial"/>
        </w:rPr>
        <w:softHyphen/>
        <w:t>tos, con especial determinación de los que integran el patrimonio del Estado por ejecución del presupuesto o por otros conceptos.</w:t>
      </w:r>
    </w:p>
    <w:p w:rsidR="00852D39" w:rsidRDefault="00852D39" w:rsidP="00852D39">
      <w:pPr>
        <w:pStyle w:val="Textoindependiente"/>
        <w:spacing w:after="0" w:line="360" w:lineRule="auto"/>
        <w:rPr>
          <w:rFonts w:cs="Arial"/>
        </w:rPr>
      </w:pPr>
      <w:r w:rsidRPr="009B4623">
        <w:rPr>
          <w:rFonts w:cs="Arial"/>
        </w:rPr>
        <w:t xml:space="preserve">Al respecto, cabe señalar que por Resolución Nº 1718 de 8/9/2014 de la Intendencia, se dispuso la actualización del inventario de bienes muebles e inmuebles propiedad de la </w:t>
      </w:r>
      <w:r>
        <w:rPr>
          <w:rFonts w:cs="Arial"/>
        </w:rPr>
        <w:t>misma.</w:t>
      </w:r>
    </w:p>
    <w:p w:rsidR="00852D39" w:rsidRPr="009B4623" w:rsidRDefault="00852D39" w:rsidP="00852D39">
      <w:pPr>
        <w:pStyle w:val="Textoindependiente"/>
        <w:spacing w:after="0" w:line="360" w:lineRule="auto"/>
        <w:rPr>
          <w:lang w:val="es-ES"/>
        </w:rPr>
      </w:pPr>
    </w:p>
    <w:p w:rsidR="00852D39" w:rsidRDefault="00852D39" w:rsidP="00852D39">
      <w:pPr>
        <w:pStyle w:val="Ttulo3"/>
        <w:spacing w:before="0" w:after="0" w:line="360" w:lineRule="auto"/>
        <w:rPr>
          <w:sz w:val="24"/>
          <w:szCs w:val="24"/>
        </w:rPr>
      </w:pPr>
      <w:bookmarkStart w:id="104" w:name="_Toc86129205"/>
      <w:bookmarkStart w:id="105" w:name="_Toc148859083"/>
      <w:bookmarkStart w:id="106" w:name="_Toc177977177"/>
      <w:bookmarkStart w:id="107" w:name="_Toc275529725"/>
      <w:bookmarkStart w:id="108" w:name="_Toc310000983"/>
      <w:bookmarkStart w:id="109" w:name="_Toc344371170"/>
      <w:r>
        <w:rPr>
          <w:sz w:val="24"/>
          <w:szCs w:val="24"/>
        </w:rPr>
        <w:t>3.4.2.16 Imputación previa</w:t>
      </w:r>
      <w:bookmarkEnd w:id="104"/>
      <w:bookmarkEnd w:id="105"/>
      <w:bookmarkEnd w:id="106"/>
      <w:bookmarkEnd w:id="107"/>
      <w:bookmarkEnd w:id="108"/>
      <w:bookmarkEnd w:id="109"/>
    </w:p>
    <w:p w:rsidR="00852D39" w:rsidRDefault="00852D39" w:rsidP="00852D39">
      <w:pPr>
        <w:pStyle w:val="Textoindependiente"/>
        <w:spacing w:after="0" w:line="360" w:lineRule="auto"/>
        <w:rPr>
          <w:kern w:val="0"/>
          <w:szCs w:val="24"/>
          <w:lang w:val="es-ES"/>
        </w:rPr>
      </w:pPr>
      <w:r>
        <w:rPr>
          <w:kern w:val="0"/>
          <w:szCs w:val="24"/>
          <w:lang w:val="es-ES"/>
        </w:rPr>
        <w:t>A efectos de evitar excesos de gastos y cumplir con las correspondientes disposiciones legales, se deberá determinar fehacientemente la disponibilidad de crédito presupuestal existente. La imputación debe realizarse en forma previa, es de</w:t>
      </w:r>
      <w:r>
        <w:rPr>
          <w:kern w:val="0"/>
          <w:szCs w:val="24"/>
          <w:lang w:val="es-ES"/>
        </w:rPr>
        <w:softHyphen/>
        <w:t>cir al momento de comprometerse el gasto.</w:t>
      </w:r>
    </w:p>
    <w:p w:rsidR="00852D39" w:rsidRDefault="00852D39" w:rsidP="00852D39">
      <w:pPr>
        <w:pStyle w:val="Textoindependiente"/>
        <w:spacing w:after="0" w:line="360" w:lineRule="auto"/>
        <w:rPr>
          <w:rFonts w:cs="Arial"/>
          <w:lang w:val="es-ES"/>
        </w:rPr>
      </w:pPr>
    </w:p>
    <w:p w:rsidR="00852D39" w:rsidRDefault="00852D39" w:rsidP="00852D39">
      <w:pPr>
        <w:pStyle w:val="Ttulo3"/>
        <w:spacing w:before="0" w:after="0" w:line="360" w:lineRule="auto"/>
        <w:rPr>
          <w:sz w:val="24"/>
          <w:szCs w:val="24"/>
        </w:rPr>
      </w:pPr>
      <w:bookmarkStart w:id="110" w:name="_Toc177977179"/>
      <w:bookmarkStart w:id="111" w:name="_Toc275529728"/>
      <w:bookmarkStart w:id="112" w:name="_Toc310000984"/>
      <w:bookmarkStart w:id="113" w:name="_Toc344371171"/>
      <w:r>
        <w:rPr>
          <w:sz w:val="24"/>
          <w:szCs w:val="24"/>
        </w:rPr>
        <w:t>3.4.2.17 Arqueos de Fondos</w:t>
      </w:r>
      <w:bookmarkEnd w:id="110"/>
      <w:bookmarkEnd w:id="111"/>
      <w:bookmarkEnd w:id="112"/>
      <w:bookmarkEnd w:id="113"/>
    </w:p>
    <w:p w:rsidR="00852D39" w:rsidRPr="00BE4E1E" w:rsidRDefault="00852D39" w:rsidP="00852D39">
      <w:pPr>
        <w:pStyle w:val="Textoindependiente2"/>
        <w:jc w:val="both"/>
        <w:rPr>
          <w:rFonts w:ascii="Arial" w:hAnsi="Arial" w:cs="Arial"/>
        </w:rPr>
      </w:pPr>
      <w:r w:rsidRPr="00BE4E1E">
        <w:rPr>
          <w:rFonts w:ascii="Arial" w:hAnsi="Arial" w:cs="Arial"/>
        </w:rPr>
        <w:t>A efectos de dar cumplimiento a lo dispuesto por los Artículos 102 y 119 del TOCAF, la Intendencia deberá incrementar la periodicidad de la realización de los arqueos de fondos y valores en todas sus dependencias</w:t>
      </w:r>
      <w:r>
        <w:rPr>
          <w:rFonts w:ascii="Arial" w:hAnsi="Arial" w:cs="Arial"/>
        </w:rPr>
        <w:t>, algunos de los cuales deben tener carácter sorpresivo</w:t>
      </w:r>
      <w:r w:rsidRPr="00BE4E1E">
        <w:rPr>
          <w:rFonts w:ascii="Arial" w:hAnsi="Arial" w:cs="Arial"/>
        </w:rPr>
        <w:t>.</w:t>
      </w:r>
    </w:p>
    <w:p w:rsidR="00852D39" w:rsidRDefault="00852D39" w:rsidP="00852D39">
      <w:pPr>
        <w:pStyle w:val="Textoindependiente2"/>
      </w:pPr>
    </w:p>
    <w:p w:rsidR="00852D39" w:rsidRDefault="00852D39" w:rsidP="00852D39">
      <w:pPr>
        <w:pStyle w:val="Ttulo3"/>
        <w:spacing w:before="0" w:after="0" w:line="360" w:lineRule="auto"/>
        <w:rPr>
          <w:sz w:val="24"/>
          <w:szCs w:val="24"/>
        </w:rPr>
      </w:pPr>
      <w:bookmarkStart w:id="114" w:name="_Toc275529729"/>
      <w:bookmarkStart w:id="115" w:name="_Toc310000985"/>
      <w:bookmarkStart w:id="116" w:name="_Toc344371172"/>
      <w:r>
        <w:rPr>
          <w:sz w:val="24"/>
          <w:szCs w:val="24"/>
        </w:rPr>
        <w:t>3.4.2.18 Grado de cumplimiento de metas y objetivos</w:t>
      </w:r>
      <w:bookmarkEnd w:id="114"/>
      <w:bookmarkEnd w:id="115"/>
      <w:bookmarkEnd w:id="116"/>
    </w:p>
    <w:p w:rsidR="00852D39" w:rsidRDefault="00852D39" w:rsidP="00852D39">
      <w:pPr>
        <w:pStyle w:val="Textoindependiente"/>
        <w:spacing w:after="0" w:line="360" w:lineRule="auto"/>
        <w:rPr>
          <w:color w:val="FF0000"/>
        </w:rPr>
      </w:pPr>
      <w:r>
        <w:t>Se deberá presentar el estado demostrativo del grado de cumplimiento de los objetivos y metas programadas en la Rendición de Cuentas  de acuerdo con lo establecido por el Artículo 128 del TOCAF, indicando los previstos y los alcanza</w:t>
      </w:r>
      <w:r>
        <w:softHyphen/>
        <w:t>dos y su costo resultante</w:t>
      </w:r>
      <w:r>
        <w:rPr>
          <w:color w:val="FF0000"/>
        </w:rPr>
        <w:t>.</w:t>
      </w:r>
    </w:p>
    <w:p w:rsidR="00852D39" w:rsidRDefault="00852D39" w:rsidP="00852D39">
      <w:pPr>
        <w:pStyle w:val="Textoindependiente"/>
        <w:spacing w:after="0" w:line="360" w:lineRule="auto"/>
        <w:rPr>
          <w:rFonts w:cs="Arial"/>
          <w:lang w:val="es-ES"/>
        </w:rPr>
      </w:pPr>
    </w:p>
    <w:p w:rsidR="00852D39" w:rsidRDefault="00852D39" w:rsidP="00852D39">
      <w:pPr>
        <w:pStyle w:val="Ttulo3"/>
        <w:spacing w:before="0" w:after="0" w:line="360" w:lineRule="auto"/>
        <w:rPr>
          <w:sz w:val="24"/>
          <w:szCs w:val="24"/>
        </w:rPr>
      </w:pPr>
      <w:bookmarkStart w:id="117" w:name="_Toc177977194"/>
      <w:bookmarkStart w:id="118" w:name="_Toc275529739"/>
      <w:bookmarkStart w:id="119" w:name="_Toc310000987"/>
      <w:bookmarkStart w:id="120" w:name="_Toc344371174"/>
      <w:r>
        <w:rPr>
          <w:sz w:val="24"/>
          <w:szCs w:val="24"/>
        </w:rPr>
        <w:t>3.4.2.19 Instructivo del Tribunal de Cuentas</w:t>
      </w:r>
      <w:bookmarkEnd w:id="117"/>
      <w:bookmarkEnd w:id="118"/>
      <w:bookmarkEnd w:id="119"/>
      <w:bookmarkEnd w:id="120"/>
    </w:p>
    <w:p w:rsidR="00852D39" w:rsidRDefault="00852D39" w:rsidP="00852D39">
      <w:pPr>
        <w:pStyle w:val="Piedepgina"/>
        <w:tabs>
          <w:tab w:val="left" w:pos="993"/>
          <w:tab w:val="left" w:pos="1134"/>
        </w:tabs>
      </w:pPr>
      <w:r>
        <w:t>Las Rendiciones de Cuentas que remitan los Gobiernos Departamentales, conforme a lo dispuesto en el Artículo 214, aplicable por remisión del       Artículo 222 de la Constitución de la República, se deben presentar de acuerdo con el modelo establecido por la Resolución de este Tribunal del 28/01/04.</w:t>
      </w:r>
    </w:p>
    <w:p w:rsidR="00852D39" w:rsidRDefault="00852D39" w:rsidP="00852D39">
      <w:pPr>
        <w:pStyle w:val="Piedepgina"/>
        <w:tabs>
          <w:tab w:val="left" w:pos="993"/>
          <w:tab w:val="left" w:pos="1134"/>
        </w:tabs>
      </w:pPr>
    </w:p>
    <w:p w:rsidR="00852D39" w:rsidRDefault="00852D39" w:rsidP="00852D39">
      <w:pPr>
        <w:pStyle w:val="Ttulo3"/>
        <w:spacing w:before="0" w:after="0" w:line="360" w:lineRule="auto"/>
        <w:rPr>
          <w:sz w:val="24"/>
          <w:szCs w:val="24"/>
        </w:rPr>
      </w:pPr>
      <w:bookmarkStart w:id="121" w:name="_Toc234747880"/>
      <w:bookmarkStart w:id="122" w:name="_Toc239137581"/>
      <w:bookmarkStart w:id="123" w:name="_Toc310000988"/>
      <w:bookmarkStart w:id="124" w:name="_Toc344371175"/>
      <w:r>
        <w:rPr>
          <w:sz w:val="24"/>
          <w:szCs w:val="24"/>
        </w:rPr>
        <w:t>3.</w:t>
      </w:r>
      <w:bookmarkEnd w:id="121"/>
      <w:bookmarkEnd w:id="122"/>
      <w:r>
        <w:rPr>
          <w:sz w:val="24"/>
          <w:szCs w:val="24"/>
        </w:rPr>
        <w:t>4.2.20 Certificaciones y conciliaciones</w:t>
      </w:r>
      <w:bookmarkEnd w:id="123"/>
      <w:bookmarkEnd w:id="124"/>
      <w:r>
        <w:rPr>
          <w:sz w:val="24"/>
          <w:szCs w:val="24"/>
        </w:rPr>
        <w:t xml:space="preserve"> bancarias</w:t>
      </w:r>
    </w:p>
    <w:p w:rsidR="00852D39" w:rsidRDefault="00852D39" w:rsidP="00852D39">
      <w:pPr>
        <w:pStyle w:val="Textoindependiente"/>
        <w:spacing w:after="0" w:line="360" w:lineRule="auto"/>
      </w:pPr>
      <w:r>
        <w:rPr>
          <w:lang w:val="es-ES"/>
        </w:rPr>
        <w:t>Los saldos de las cuentas bancarias deberán ser proporcionados por el sistema contable, para lo que deberán contabilizarse todos los movimientos bancarios.</w:t>
      </w:r>
      <w:bookmarkStart w:id="125" w:name="_Toc247944574"/>
      <w:bookmarkStart w:id="126" w:name="_Toc310000989"/>
      <w:r>
        <w:rPr>
          <w:lang w:val="es-ES"/>
        </w:rPr>
        <w:t xml:space="preserve"> </w:t>
      </w:r>
      <w:r>
        <w:t xml:space="preserve">Se deberá presentar la totalidad de las certificaciones bancarias así como el detalle de todas  las partidas necesarias para </w:t>
      </w:r>
      <w:r w:rsidR="00FF53CD">
        <w:t>conciliar los saldos bancarios.</w:t>
      </w:r>
    </w:p>
    <w:p w:rsidR="00852D39" w:rsidRDefault="00852D39" w:rsidP="00852D39">
      <w:pPr>
        <w:pStyle w:val="Piedepgina"/>
        <w:tabs>
          <w:tab w:val="left" w:pos="993"/>
          <w:tab w:val="left" w:pos="1134"/>
        </w:tabs>
        <w:rPr>
          <w:color w:val="FF0000"/>
        </w:rPr>
      </w:pPr>
    </w:p>
    <w:p w:rsidR="00852D39" w:rsidRDefault="00852D39" w:rsidP="00852D39">
      <w:pPr>
        <w:pStyle w:val="Ttulo3"/>
        <w:spacing w:before="0" w:after="0" w:line="360" w:lineRule="auto"/>
        <w:jc w:val="both"/>
        <w:rPr>
          <w:kern w:val="18"/>
        </w:rPr>
      </w:pPr>
      <w:bookmarkStart w:id="127" w:name="_Toc344371181"/>
      <w:r>
        <w:rPr>
          <w:kern w:val="18"/>
        </w:rPr>
        <w:t>3.4.2.21 Solicitud de informe técnico para arrendamiento de inmuebles</w:t>
      </w:r>
      <w:bookmarkEnd w:id="127"/>
    </w:p>
    <w:p w:rsidR="00852D39" w:rsidRDefault="00852D39" w:rsidP="00852D39">
      <w:pPr>
        <w:spacing w:line="360" w:lineRule="auto"/>
        <w:jc w:val="both"/>
        <w:rPr>
          <w:kern w:val="18"/>
          <w:szCs w:val="20"/>
        </w:rPr>
      </w:pPr>
      <w:r>
        <w:rPr>
          <w:kern w:val="18"/>
          <w:szCs w:val="20"/>
        </w:rPr>
        <w:t xml:space="preserve">Con respecto al arrendamiento de inmuebles se deberá solicitar informe técnico de oficina competente con respecto al valor del </w:t>
      </w:r>
      <w:r w:rsidR="00FF53CD">
        <w:rPr>
          <w:kern w:val="18"/>
          <w:szCs w:val="20"/>
        </w:rPr>
        <w:t>arrendamiento a pagar o cobrar.</w:t>
      </w:r>
    </w:p>
    <w:p w:rsidR="00852D39" w:rsidRDefault="00852D39" w:rsidP="00852D39">
      <w:pPr>
        <w:spacing w:line="360" w:lineRule="auto"/>
        <w:jc w:val="both"/>
        <w:rPr>
          <w:kern w:val="18"/>
          <w:szCs w:val="20"/>
        </w:rPr>
      </w:pPr>
    </w:p>
    <w:p w:rsidR="00852D39" w:rsidRDefault="00852D39" w:rsidP="00852D39">
      <w:pPr>
        <w:pStyle w:val="Ttulo3"/>
        <w:spacing w:before="0" w:after="0" w:line="360" w:lineRule="auto"/>
        <w:rPr>
          <w:kern w:val="18"/>
        </w:rPr>
      </w:pPr>
      <w:bookmarkStart w:id="128" w:name="_Toc344371182"/>
      <w:r>
        <w:rPr>
          <w:kern w:val="18"/>
        </w:rPr>
        <w:t>3.4.2.22 Certificado de estar al día con la CJPPU</w:t>
      </w:r>
      <w:bookmarkEnd w:id="128"/>
    </w:p>
    <w:p w:rsidR="00852D39" w:rsidRDefault="00852D39" w:rsidP="00852D39">
      <w:pPr>
        <w:spacing w:line="360" w:lineRule="auto"/>
        <w:jc w:val="both"/>
        <w:rPr>
          <w:kern w:val="18"/>
          <w:szCs w:val="20"/>
        </w:rPr>
      </w:pPr>
      <w:r>
        <w:rPr>
          <w:kern w:val="18"/>
          <w:szCs w:val="20"/>
        </w:rPr>
        <w:t>La Intendencia deberá dar cumplimiento a lo dispuesto por el Artículo 124 de la Ley 17.738, el cual establece que no se podrá abonar ningún haber a los profesionales que no presenten el certificado que acredita que se encuentran al día con sus obligaciones con la Caja de Jubilaciones y Pensiones de Profesionales Universitarios.</w:t>
      </w:r>
    </w:p>
    <w:p w:rsidR="00852D39" w:rsidRDefault="00852D39" w:rsidP="00852D39">
      <w:pPr>
        <w:spacing w:line="360" w:lineRule="auto"/>
        <w:jc w:val="both"/>
        <w:rPr>
          <w:kern w:val="18"/>
          <w:szCs w:val="20"/>
        </w:rPr>
      </w:pPr>
    </w:p>
    <w:bookmarkEnd w:id="125"/>
    <w:bookmarkEnd w:id="126"/>
    <w:p w:rsidR="00852D39" w:rsidRDefault="00852D39" w:rsidP="00852D39">
      <w:pPr>
        <w:pStyle w:val="Lista"/>
        <w:tabs>
          <w:tab w:val="left" w:pos="360"/>
        </w:tabs>
        <w:ind w:left="0" w:firstLine="0"/>
        <w:rPr>
          <w:rFonts w:cs="Arial"/>
          <w:b/>
          <w:lang w:val="es-ES"/>
        </w:rPr>
      </w:pPr>
      <w:r>
        <w:rPr>
          <w:rFonts w:cs="Arial"/>
          <w:b/>
          <w:lang w:val="es-ES"/>
        </w:rPr>
        <w:t>3.4.2.23 Horas extras y tareas insalubres</w:t>
      </w:r>
    </w:p>
    <w:p w:rsidR="00852D39" w:rsidRDefault="00852D39" w:rsidP="00852D39">
      <w:pPr>
        <w:pStyle w:val="Lista"/>
        <w:tabs>
          <w:tab w:val="left" w:pos="360"/>
        </w:tabs>
        <w:ind w:left="0" w:firstLine="0"/>
        <w:rPr>
          <w:rFonts w:cs="Arial"/>
          <w:lang w:val="es-ES"/>
        </w:rPr>
      </w:pPr>
      <w:r>
        <w:rPr>
          <w:rFonts w:cs="Arial"/>
          <w:lang w:val="es-ES"/>
        </w:rPr>
        <w:t>Se deberá dar cumplimiento al Presupuesto Quinquenal 2011-2015 (Decreto     Nº 51/011) que en el Artículo 16 del Libro Segundo establece que quienes cobran partidas por realizar tareas insalubres no pueden realizar horas extras.</w:t>
      </w:r>
    </w:p>
    <w:p w:rsidR="00852D39" w:rsidRDefault="00852D39" w:rsidP="00852D39">
      <w:pPr>
        <w:pStyle w:val="Lista"/>
        <w:tabs>
          <w:tab w:val="left" w:pos="360"/>
        </w:tabs>
        <w:ind w:left="0" w:firstLine="0"/>
        <w:rPr>
          <w:rFonts w:cs="Arial"/>
          <w:lang w:val="es-ES"/>
        </w:rPr>
      </w:pPr>
    </w:p>
    <w:p w:rsidR="00852D39" w:rsidRDefault="00852D39" w:rsidP="00852D39">
      <w:pPr>
        <w:pStyle w:val="Lista"/>
        <w:tabs>
          <w:tab w:val="left" w:pos="0"/>
        </w:tabs>
        <w:ind w:left="0" w:firstLine="0"/>
        <w:rPr>
          <w:rFonts w:cs="Arial"/>
          <w:b/>
          <w:snapToGrid w:val="0"/>
        </w:rPr>
      </w:pPr>
      <w:r>
        <w:rPr>
          <w:rFonts w:cs="Arial"/>
          <w:b/>
          <w:snapToGrid w:val="0"/>
        </w:rPr>
        <w:t>3.4.2.24 Certificados de BPS y DGI vigentes</w:t>
      </w:r>
    </w:p>
    <w:p w:rsidR="00852D39" w:rsidRDefault="00852D39" w:rsidP="00852D39">
      <w:pPr>
        <w:pStyle w:val="Lista"/>
        <w:tabs>
          <w:tab w:val="left" w:pos="0"/>
        </w:tabs>
        <w:ind w:left="0" w:firstLine="0"/>
        <w:rPr>
          <w:rFonts w:cs="Arial"/>
          <w:snapToGrid w:val="0"/>
        </w:rPr>
      </w:pPr>
      <w:r>
        <w:rPr>
          <w:rFonts w:cs="Arial"/>
          <w:snapToGrid w:val="0"/>
        </w:rPr>
        <w:t>Si bien la Intendencia ha instrumentado la solicitud de certificados de BPS y DGI a sus proveedores, se han realizado pagos con certificados vencidos al momento del pago, por lo que deberá instrumentar un mecanismo de control al respecto.</w:t>
      </w:r>
    </w:p>
    <w:p w:rsidR="00852D39" w:rsidRDefault="00852D39" w:rsidP="00852D39">
      <w:pPr>
        <w:pStyle w:val="Lista"/>
        <w:tabs>
          <w:tab w:val="left" w:pos="0"/>
        </w:tabs>
        <w:ind w:left="0" w:firstLine="0"/>
        <w:rPr>
          <w:rFonts w:cs="Arial"/>
          <w:snapToGrid w:val="0"/>
        </w:rPr>
      </w:pPr>
    </w:p>
    <w:p w:rsidR="00852D39" w:rsidRDefault="00852D39" w:rsidP="00852D39">
      <w:pPr>
        <w:tabs>
          <w:tab w:val="left" w:pos="0"/>
        </w:tabs>
        <w:spacing w:line="360" w:lineRule="auto"/>
        <w:jc w:val="both"/>
        <w:rPr>
          <w:rFonts w:cs="Arial"/>
          <w:snapToGrid w:val="0"/>
          <w:kern w:val="18"/>
          <w:szCs w:val="20"/>
          <w:lang w:val="es-ES_tradnl"/>
        </w:rPr>
      </w:pPr>
      <w:r>
        <w:rPr>
          <w:rFonts w:cs="Arial"/>
          <w:b/>
          <w:snapToGrid w:val="0"/>
          <w:kern w:val="18"/>
          <w:szCs w:val="20"/>
          <w:lang w:val="es-ES_tradnl"/>
        </w:rPr>
        <w:t>3.4.2.25  Seguro de caución de fidelidad</w:t>
      </w:r>
    </w:p>
    <w:p w:rsidR="00852D39" w:rsidRDefault="00852D39" w:rsidP="00852D39">
      <w:pPr>
        <w:tabs>
          <w:tab w:val="left" w:pos="0"/>
        </w:tabs>
        <w:spacing w:line="360" w:lineRule="auto"/>
        <w:jc w:val="both"/>
        <w:rPr>
          <w:rFonts w:cs="Arial"/>
          <w:snapToGrid w:val="0"/>
          <w:kern w:val="18"/>
          <w:szCs w:val="20"/>
          <w:lang w:val="es-ES_tradnl"/>
        </w:rPr>
      </w:pPr>
      <w:r>
        <w:rPr>
          <w:rFonts w:cs="Arial"/>
          <w:snapToGrid w:val="0"/>
          <w:kern w:val="18"/>
          <w:szCs w:val="20"/>
          <w:lang w:val="es-ES_tradnl"/>
        </w:rPr>
        <w:t>Se deberá contratar seguro de caución de fidelidad para todos los funcionarios que manejan fondos y valores, tal como lo establece el Artículo 90 y 154 del TOCAF.</w:t>
      </w:r>
    </w:p>
    <w:p w:rsidR="00852D39" w:rsidRDefault="00852D39" w:rsidP="00852D39">
      <w:pPr>
        <w:tabs>
          <w:tab w:val="left" w:pos="0"/>
        </w:tabs>
        <w:spacing w:line="360" w:lineRule="auto"/>
        <w:jc w:val="both"/>
        <w:rPr>
          <w:rFonts w:cs="Arial"/>
          <w:snapToGrid w:val="0"/>
          <w:kern w:val="18"/>
          <w:szCs w:val="20"/>
          <w:lang w:val="es-ES_tradnl"/>
        </w:rPr>
      </w:pPr>
    </w:p>
    <w:p w:rsidR="00852D39" w:rsidRDefault="00852D39" w:rsidP="00852D39">
      <w:pPr>
        <w:pStyle w:val="Ttulo2"/>
        <w:spacing w:after="0"/>
        <w:jc w:val="both"/>
        <w:rPr>
          <w:rFonts w:cs="Arial"/>
        </w:rPr>
      </w:pPr>
      <w:bookmarkStart w:id="129" w:name="_Toc344371177"/>
      <w:r>
        <w:rPr>
          <w:rFonts w:cs="Arial"/>
        </w:rPr>
        <w:t>3.4.3 Recomendaciones del Ejercicio</w:t>
      </w:r>
      <w:bookmarkEnd w:id="129"/>
    </w:p>
    <w:p w:rsidR="00852D39" w:rsidRPr="00581D53" w:rsidRDefault="00852D39" w:rsidP="00852D39">
      <w:pPr>
        <w:pStyle w:val="Textoindependiente"/>
        <w:spacing w:after="0"/>
        <w:rPr>
          <w:lang w:val="es-ES"/>
        </w:rPr>
      </w:pPr>
    </w:p>
    <w:p w:rsidR="00852D39" w:rsidRDefault="00852D39" w:rsidP="00852D39">
      <w:pPr>
        <w:pStyle w:val="Textoindependiente"/>
        <w:spacing w:after="0" w:line="360" w:lineRule="auto"/>
        <w:rPr>
          <w:rFonts w:cs="Arial"/>
          <w:lang w:val="es-ES"/>
        </w:rPr>
      </w:pPr>
      <w:r>
        <w:rPr>
          <w:rFonts w:cs="Arial"/>
          <w:lang w:val="es-ES"/>
        </w:rPr>
        <w:t>Se reiteran las recomendaciones señaladas en el punto 3.4.2 y se agrega la siguiente:</w:t>
      </w:r>
    </w:p>
    <w:p w:rsidR="00852D39" w:rsidRDefault="00852D39" w:rsidP="00852D39">
      <w:pPr>
        <w:pStyle w:val="Textoindependiente"/>
        <w:spacing w:after="0" w:line="360" w:lineRule="auto"/>
        <w:rPr>
          <w:rFonts w:cs="Arial"/>
          <w:lang w:val="es-ES"/>
        </w:rPr>
      </w:pPr>
    </w:p>
    <w:p w:rsidR="00852D39" w:rsidRDefault="00852D39" w:rsidP="00852D39">
      <w:pPr>
        <w:pStyle w:val="Ttulo3"/>
        <w:spacing w:before="0" w:after="0" w:line="360" w:lineRule="auto"/>
        <w:rPr>
          <w:sz w:val="24"/>
          <w:szCs w:val="24"/>
        </w:rPr>
      </w:pPr>
      <w:bookmarkStart w:id="130" w:name="_Toc208913274"/>
      <w:bookmarkStart w:id="131" w:name="_Toc275529744"/>
      <w:bookmarkStart w:id="132" w:name="_Toc310000990"/>
      <w:bookmarkStart w:id="133" w:name="_Toc344371178"/>
      <w:r>
        <w:rPr>
          <w:sz w:val="24"/>
          <w:szCs w:val="24"/>
        </w:rPr>
        <w:t>Ajustes al Resultado del Ejercicio  y al Resultado Acumulado</w:t>
      </w:r>
      <w:bookmarkEnd w:id="130"/>
      <w:bookmarkEnd w:id="131"/>
      <w:bookmarkEnd w:id="132"/>
      <w:bookmarkEnd w:id="133"/>
    </w:p>
    <w:p w:rsidR="00852D39" w:rsidRDefault="00852D39" w:rsidP="00852D39">
      <w:pPr>
        <w:pStyle w:val="Textoindependiente"/>
        <w:spacing w:after="0" w:line="360" w:lineRule="auto"/>
      </w:pPr>
      <w:r>
        <w:t>La Intendencia deberá efectuar los ajustes detallados en los párra</w:t>
      </w:r>
      <w:r>
        <w:softHyphen/>
        <w:t>fos 3.1.1) a 3.1.6) para determinar el resultado del ejercicio y el resultado acumulado al 31/12/13 en las cifras allí establecidas (ver párrafo 3.1.10).</w:t>
      </w:r>
    </w:p>
    <w:p w:rsidR="00852D39" w:rsidRDefault="00852D39" w:rsidP="00852D39">
      <w:pPr>
        <w:pStyle w:val="Textoindependiente"/>
        <w:spacing w:after="0" w:line="360" w:lineRule="auto"/>
        <w:jc w:val="right"/>
        <w:rPr>
          <w:rFonts w:cs="Arial"/>
        </w:rPr>
      </w:pPr>
      <w:r w:rsidRPr="00235CFE">
        <w:rPr>
          <w:rFonts w:cs="Arial"/>
          <w:lang w:val="es-ES"/>
        </w:rPr>
        <w:t>Montevideo,</w:t>
      </w:r>
      <w:r>
        <w:rPr>
          <w:rFonts w:cs="Arial"/>
          <w:lang w:val="es-ES"/>
        </w:rPr>
        <w:t xml:space="preserve"> 5 </w:t>
      </w:r>
      <w:r w:rsidRPr="00235CFE">
        <w:rPr>
          <w:rFonts w:cs="Arial"/>
          <w:lang w:val="es-ES"/>
        </w:rPr>
        <w:t xml:space="preserve">de </w:t>
      </w:r>
      <w:r>
        <w:rPr>
          <w:rFonts w:cs="Arial"/>
          <w:lang w:val="es-ES"/>
        </w:rPr>
        <w:t>diciembre</w:t>
      </w:r>
      <w:r w:rsidRPr="00235CFE">
        <w:rPr>
          <w:rFonts w:cs="Arial"/>
          <w:lang w:val="es-ES"/>
        </w:rPr>
        <w:t xml:space="preserve"> de 2014</w:t>
      </w:r>
    </w:p>
    <w:p w:rsidR="00852D39" w:rsidRDefault="00852D39" w:rsidP="00004E2E">
      <w:pPr>
        <w:spacing w:line="360" w:lineRule="auto"/>
        <w:jc w:val="both"/>
      </w:pPr>
      <w:proofErr w:type="spellStart"/>
      <w:proofErr w:type="gramStart"/>
      <w:r>
        <w:t>ag</w:t>
      </w:r>
      <w:proofErr w:type="spellEnd"/>
      <w:proofErr w:type="gramEnd"/>
    </w:p>
    <w:sectPr w:rsidR="00852D39" w:rsidSect="001A0143">
      <w:pgSz w:w="11906" w:h="16838" w:code="9"/>
      <w:pgMar w:top="3175"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6DCE"/>
    <w:multiLevelType w:val="hybridMultilevel"/>
    <w:tmpl w:val="120816B6"/>
    <w:lvl w:ilvl="0" w:tplc="8B20D53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F1A7186"/>
    <w:multiLevelType w:val="hybridMultilevel"/>
    <w:tmpl w:val="873C6856"/>
    <w:lvl w:ilvl="0" w:tplc="050E6824">
      <w:start w:val="1"/>
      <w:numFmt w:val="decimal"/>
      <w:lvlText w:val="%1-"/>
      <w:lvlJc w:val="left"/>
      <w:pPr>
        <w:tabs>
          <w:tab w:val="num" w:pos="720"/>
        </w:tabs>
        <w:ind w:left="720" w:hanging="360"/>
      </w:pPr>
      <w:rPr>
        <w:rFonts w:hint="default"/>
        <w:b/>
      </w:rPr>
    </w:lvl>
    <w:lvl w:ilvl="1" w:tplc="1F880D1E">
      <w:start w:val="13"/>
      <w:numFmt w:val="lowerLetter"/>
      <w:lvlText w:val="%2)"/>
      <w:lvlJc w:val="left"/>
      <w:pPr>
        <w:tabs>
          <w:tab w:val="num" w:pos="1785"/>
        </w:tabs>
        <w:ind w:left="1785" w:hanging="70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3">
    <w:nsid w:val="4D207B4D"/>
    <w:multiLevelType w:val="hybridMultilevel"/>
    <w:tmpl w:val="84D8B450"/>
    <w:lvl w:ilvl="0" w:tplc="050E6824">
      <w:start w:val="1"/>
      <w:numFmt w:val="decimal"/>
      <w:lvlText w:val="%1-"/>
      <w:lvlJc w:val="left"/>
      <w:pPr>
        <w:tabs>
          <w:tab w:val="num" w:pos="720"/>
        </w:tabs>
        <w:ind w:left="720" w:hanging="360"/>
      </w:pPr>
      <w:rPr>
        <w:rFonts w:hint="default"/>
        <w:b/>
      </w:rPr>
    </w:lvl>
    <w:lvl w:ilvl="1" w:tplc="050E6824">
      <w:start w:val="1"/>
      <w:numFmt w:val="decimal"/>
      <w:lvlText w:val="%2-"/>
      <w:lvlJc w:val="left"/>
      <w:pPr>
        <w:tabs>
          <w:tab w:val="num" w:pos="720"/>
        </w:tabs>
        <w:ind w:left="72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E7E6178"/>
    <w:multiLevelType w:val="hybridMultilevel"/>
    <w:tmpl w:val="B3960E9E"/>
    <w:lvl w:ilvl="0" w:tplc="A8DA4794">
      <w:start w:val="1"/>
      <w:numFmt w:val="bullet"/>
      <w:lvlText w:val=""/>
      <w:lvlJc w:val="left"/>
      <w:pPr>
        <w:tabs>
          <w:tab w:val="num" w:pos="360"/>
        </w:tabs>
        <w:ind w:left="340" w:hanging="340"/>
      </w:pPr>
      <w:rPr>
        <w:rFonts w:ascii="Symbol" w:hAnsi="Symbol" w:hint="default"/>
      </w:rPr>
    </w:lvl>
    <w:lvl w:ilvl="1" w:tplc="A8DA4794">
      <w:start w:val="1"/>
      <w:numFmt w:val="bullet"/>
      <w:lvlText w:val=""/>
      <w:lvlJc w:val="left"/>
      <w:pPr>
        <w:tabs>
          <w:tab w:val="num" w:pos="1440"/>
        </w:tabs>
        <w:ind w:left="1420" w:hanging="340"/>
      </w:pPr>
      <w:rPr>
        <w:rFonts w:ascii="Symbol" w:hAnsi="Symbol" w:hint="default"/>
      </w:rPr>
    </w:lvl>
    <w:lvl w:ilvl="2" w:tplc="3548905C">
      <w:start w:val="3"/>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2E"/>
    <w:rsid w:val="00004E2E"/>
    <w:rsid w:val="00004FDA"/>
    <w:rsid w:val="00081699"/>
    <w:rsid w:val="000845F3"/>
    <w:rsid w:val="000D14FE"/>
    <w:rsid w:val="000F7AD1"/>
    <w:rsid w:val="00140D14"/>
    <w:rsid w:val="001A0143"/>
    <w:rsid w:val="00296EF5"/>
    <w:rsid w:val="002E49CF"/>
    <w:rsid w:val="00401268"/>
    <w:rsid w:val="00423245"/>
    <w:rsid w:val="004F6C84"/>
    <w:rsid w:val="005127E6"/>
    <w:rsid w:val="00574733"/>
    <w:rsid w:val="00710166"/>
    <w:rsid w:val="007D7E71"/>
    <w:rsid w:val="008522A7"/>
    <w:rsid w:val="00852D39"/>
    <w:rsid w:val="008D3BF9"/>
    <w:rsid w:val="00905CD8"/>
    <w:rsid w:val="0096436D"/>
    <w:rsid w:val="0096763A"/>
    <w:rsid w:val="00A17A45"/>
    <w:rsid w:val="00A20AD9"/>
    <w:rsid w:val="00AB2FCC"/>
    <w:rsid w:val="00BF5873"/>
    <w:rsid w:val="00C21707"/>
    <w:rsid w:val="00C31431"/>
    <w:rsid w:val="00C37904"/>
    <w:rsid w:val="00D60812"/>
    <w:rsid w:val="00EB31B0"/>
    <w:rsid w:val="00EB4D6C"/>
    <w:rsid w:val="00ED4CAE"/>
    <w:rsid w:val="00F51AB7"/>
    <w:rsid w:val="00FF53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52D39"/>
    <w:pPr>
      <w:keepNext/>
      <w:widowControl w:val="0"/>
      <w:spacing w:line="360" w:lineRule="auto"/>
      <w:jc w:val="center"/>
      <w:outlineLvl w:val="0"/>
    </w:pPr>
    <w:rPr>
      <w:rFonts w:cs="Arial"/>
      <w:b/>
      <w:bCs/>
      <w:snapToGrid w:val="0"/>
      <w:szCs w:val="20"/>
    </w:rPr>
  </w:style>
  <w:style w:type="paragraph" w:styleId="Ttulo2">
    <w:name w:val="heading 2"/>
    <w:basedOn w:val="Normal"/>
    <w:next w:val="Textoindependiente"/>
    <w:link w:val="Ttulo2Car"/>
    <w:qFormat/>
    <w:rsid w:val="00852D39"/>
    <w:pPr>
      <w:spacing w:after="170" w:line="360" w:lineRule="auto"/>
      <w:outlineLvl w:val="1"/>
    </w:pPr>
    <w:rPr>
      <w:b/>
      <w:kern w:val="18"/>
      <w:szCs w:val="20"/>
    </w:rPr>
  </w:style>
  <w:style w:type="paragraph" w:styleId="Ttulo3">
    <w:name w:val="heading 3"/>
    <w:basedOn w:val="Normal"/>
    <w:next w:val="Normal"/>
    <w:link w:val="Ttulo3Car"/>
    <w:qFormat/>
    <w:rsid w:val="00852D39"/>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004E2E"/>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semiHidden/>
    <w:rsid w:val="00004E2E"/>
    <w:rPr>
      <w:rFonts w:ascii="Arial" w:eastAsia="Times New Roman" w:hAnsi="Arial" w:cs="Times New Roman"/>
      <w:kern w:val="18"/>
      <w:sz w:val="24"/>
      <w:szCs w:val="20"/>
      <w:lang w:val="es-ES_tradnl" w:eastAsia="es-ES"/>
    </w:rPr>
  </w:style>
  <w:style w:type="paragraph" w:styleId="Textoindependiente3">
    <w:name w:val="Body Text 3"/>
    <w:basedOn w:val="Normal"/>
    <w:link w:val="Textoindependiente3Car"/>
    <w:semiHidden/>
    <w:rsid w:val="00004E2E"/>
    <w:pPr>
      <w:spacing w:line="360" w:lineRule="auto"/>
      <w:jc w:val="right"/>
    </w:pPr>
  </w:style>
  <w:style w:type="character" w:customStyle="1" w:styleId="Textoindependiente3Car">
    <w:name w:val="Texto independiente 3 Car"/>
    <w:basedOn w:val="Fuentedeprrafopredeter"/>
    <w:link w:val="Textoindependiente3"/>
    <w:semiHidden/>
    <w:rsid w:val="00004E2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852D39"/>
    <w:rPr>
      <w:rFonts w:ascii="Arial" w:eastAsia="Times New Roman" w:hAnsi="Arial" w:cs="Arial"/>
      <w:b/>
      <w:bCs/>
      <w:snapToGrid w:val="0"/>
      <w:sz w:val="24"/>
      <w:szCs w:val="20"/>
      <w:lang w:val="es-ES" w:eastAsia="es-ES"/>
    </w:rPr>
  </w:style>
  <w:style w:type="paragraph" w:styleId="Lista">
    <w:name w:val="List"/>
    <w:basedOn w:val="Normal"/>
    <w:semiHidden/>
    <w:rsid w:val="00852D39"/>
    <w:pPr>
      <w:spacing w:line="360" w:lineRule="auto"/>
      <w:ind w:left="283" w:hanging="283"/>
      <w:jc w:val="both"/>
    </w:pPr>
    <w:rPr>
      <w:kern w:val="18"/>
      <w:szCs w:val="20"/>
      <w:lang w:val="es-ES_tradnl"/>
    </w:rPr>
  </w:style>
  <w:style w:type="paragraph" w:styleId="Subttulo">
    <w:name w:val="Subtitle"/>
    <w:basedOn w:val="Normal"/>
    <w:link w:val="SubttuloCar"/>
    <w:qFormat/>
    <w:rsid w:val="00852D39"/>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852D39"/>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rsid w:val="00852D39"/>
    <w:rPr>
      <w:rFonts w:ascii="Arial" w:eastAsia="Times New Roman" w:hAnsi="Arial" w:cs="Times New Roman"/>
      <w:b/>
      <w:kern w:val="18"/>
      <w:sz w:val="24"/>
      <w:szCs w:val="20"/>
      <w:lang w:val="es-ES" w:eastAsia="es-ES"/>
    </w:rPr>
  </w:style>
  <w:style w:type="character" w:customStyle="1" w:styleId="Ttulo3Car">
    <w:name w:val="Título 3 Car"/>
    <w:basedOn w:val="Fuentedeprrafopredeter"/>
    <w:link w:val="Ttulo3"/>
    <w:rsid w:val="00852D39"/>
    <w:rPr>
      <w:rFonts w:ascii="Arial" w:eastAsia="Times New Roman" w:hAnsi="Arial" w:cs="Arial"/>
      <w:b/>
      <w:bCs/>
      <w:sz w:val="26"/>
      <w:szCs w:val="26"/>
      <w:lang w:val="es-ES" w:eastAsia="es-ES"/>
    </w:rPr>
  </w:style>
  <w:style w:type="paragraph" w:styleId="Textoindependiente2">
    <w:name w:val="Body Text 2"/>
    <w:basedOn w:val="Normal"/>
    <w:link w:val="Textoindependiente2Car"/>
    <w:semiHidden/>
    <w:rsid w:val="00852D39"/>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semiHidden/>
    <w:rsid w:val="00852D39"/>
    <w:rPr>
      <w:rFonts w:ascii="Bookman Old Style" w:eastAsia="Times New Roman" w:hAnsi="Bookman Old Style" w:cs="Times New Roman"/>
      <w:kern w:val="18"/>
      <w:sz w:val="24"/>
      <w:szCs w:val="20"/>
      <w:lang w:val="es-ES" w:eastAsia="es-ES"/>
    </w:rPr>
  </w:style>
  <w:style w:type="paragraph" w:styleId="Piedepgina">
    <w:name w:val="footer"/>
    <w:basedOn w:val="Normal"/>
    <w:link w:val="PiedepginaCar"/>
    <w:semiHidden/>
    <w:rsid w:val="00852D39"/>
    <w:pPr>
      <w:tabs>
        <w:tab w:val="center" w:pos="4419"/>
        <w:tab w:val="right" w:pos="8838"/>
      </w:tabs>
      <w:spacing w:line="360" w:lineRule="auto"/>
      <w:jc w:val="both"/>
    </w:pPr>
    <w:rPr>
      <w:kern w:val="18"/>
      <w:szCs w:val="20"/>
      <w:lang w:val="es-ES_tradnl"/>
    </w:rPr>
  </w:style>
  <w:style w:type="character" w:customStyle="1" w:styleId="PiedepginaCar">
    <w:name w:val="Pie de página Car"/>
    <w:basedOn w:val="Fuentedeprrafopredeter"/>
    <w:link w:val="Piedepgina"/>
    <w:semiHidden/>
    <w:rsid w:val="00852D39"/>
    <w:rPr>
      <w:rFonts w:ascii="Arial" w:eastAsia="Times New Roman" w:hAnsi="Arial" w:cs="Times New Roman"/>
      <w:kern w:val="18"/>
      <w:sz w:val="24"/>
      <w:szCs w:val="20"/>
      <w:lang w:val="es-ES_tradnl" w:eastAsia="es-ES"/>
    </w:rPr>
  </w:style>
  <w:style w:type="paragraph" w:styleId="Encabezado">
    <w:name w:val="header"/>
    <w:basedOn w:val="Normal"/>
    <w:link w:val="EncabezadoCar"/>
    <w:semiHidden/>
    <w:rsid w:val="00852D39"/>
    <w:pPr>
      <w:tabs>
        <w:tab w:val="center" w:pos="4252"/>
        <w:tab w:val="right" w:pos="8504"/>
      </w:tabs>
    </w:pPr>
  </w:style>
  <w:style w:type="character" w:customStyle="1" w:styleId="EncabezadoCar">
    <w:name w:val="Encabezado Car"/>
    <w:basedOn w:val="Fuentedeprrafopredeter"/>
    <w:link w:val="Encabezado"/>
    <w:semiHidden/>
    <w:rsid w:val="00852D39"/>
    <w:rPr>
      <w:rFonts w:ascii="Arial" w:eastAsia="Times New Roman" w:hAnsi="Arial" w:cs="Times New Roman"/>
      <w:sz w:val="24"/>
      <w:szCs w:val="24"/>
      <w:lang w:val="es-ES" w:eastAsia="es-ES"/>
    </w:rPr>
  </w:style>
  <w:style w:type="paragraph" w:customStyle="1" w:styleId="ecmsonormal">
    <w:name w:val="ec_msonormal"/>
    <w:basedOn w:val="Normal"/>
    <w:rsid w:val="00852D39"/>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52D39"/>
    <w:pPr>
      <w:keepNext/>
      <w:widowControl w:val="0"/>
      <w:spacing w:line="360" w:lineRule="auto"/>
      <w:jc w:val="center"/>
      <w:outlineLvl w:val="0"/>
    </w:pPr>
    <w:rPr>
      <w:rFonts w:cs="Arial"/>
      <w:b/>
      <w:bCs/>
      <w:snapToGrid w:val="0"/>
      <w:szCs w:val="20"/>
    </w:rPr>
  </w:style>
  <w:style w:type="paragraph" w:styleId="Ttulo2">
    <w:name w:val="heading 2"/>
    <w:basedOn w:val="Normal"/>
    <w:next w:val="Textoindependiente"/>
    <w:link w:val="Ttulo2Car"/>
    <w:qFormat/>
    <w:rsid w:val="00852D39"/>
    <w:pPr>
      <w:spacing w:after="170" w:line="360" w:lineRule="auto"/>
      <w:outlineLvl w:val="1"/>
    </w:pPr>
    <w:rPr>
      <w:b/>
      <w:kern w:val="18"/>
      <w:szCs w:val="20"/>
    </w:rPr>
  </w:style>
  <w:style w:type="paragraph" w:styleId="Ttulo3">
    <w:name w:val="heading 3"/>
    <w:basedOn w:val="Normal"/>
    <w:next w:val="Normal"/>
    <w:link w:val="Ttulo3Car"/>
    <w:qFormat/>
    <w:rsid w:val="00852D39"/>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004E2E"/>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semiHidden/>
    <w:rsid w:val="00004E2E"/>
    <w:rPr>
      <w:rFonts w:ascii="Arial" w:eastAsia="Times New Roman" w:hAnsi="Arial" w:cs="Times New Roman"/>
      <w:kern w:val="18"/>
      <w:sz w:val="24"/>
      <w:szCs w:val="20"/>
      <w:lang w:val="es-ES_tradnl" w:eastAsia="es-ES"/>
    </w:rPr>
  </w:style>
  <w:style w:type="paragraph" w:styleId="Textoindependiente3">
    <w:name w:val="Body Text 3"/>
    <w:basedOn w:val="Normal"/>
    <w:link w:val="Textoindependiente3Car"/>
    <w:semiHidden/>
    <w:rsid w:val="00004E2E"/>
    <w:pPr>
      <w:spacing w:line="360" w:lineRule="auto"/>
      <w:jc w:val="right"/>
    </w:pPr>
  </w:style>
  <w:style w:type="character" w:customStyle="1" w:styleId="Textoindependiente3Car">
    <w:name w:val="Texto independiente 3 Car"/>
    <w:basedOn w:val="Fuentedeprrafopredeter"/>
    <w:link w:val="Textoindependiente3"/>
    <w:semiHidden/>
    <w:rsid w:val="00004E2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852D39"/>
    <w:rPr>
      <w:rFonts w:ascii="Arial" w:eastAsia="Times New Roman" w:hAnsi="Arial" w:cs="Arial"/>
      <w:b/>
      <w:bCs/>
      <w:snapToGrid w:val="0"/>
      <w:sz w:val="24"/>
      <w:szCs w:val="20"/>
      <w:lang w:val="es-ES" w:eastAsia="es-ES"/>
    </w:rPr>
  </w:style>
  <w:style w:type="paragraph" w:styleId="Lista">
    <w:name w:val="List"/>
    <w:basedOn w:val="Normal"/>
    <w:semiHidden/>
    <w:rsid w:val="00852D39"/>
    <w:pPr>
      <w:spacing w:line="360" w:lineRule="auto"/>
      <w:ind w:left="283" w:hanging="283"/>
      <w:jc w:val="both"/>
    </w:pPr>
    <w:rPr>
      <w:kern w:val="18"/>
      <w:szCs w:val="20"/>
      <w:lang w:val="es-ES_tradnl"/>
    </w:rPr>
  </w:style>
  <w:style w:type="paragraph" w:styleId="Subttulo">
    <w:name w:val="Subtitle"/>
    <w:basedOn w:val="Normal"/>
    <w:link w:val="SubttuloCar"/>
    <w:qFormat/>
    <w:rsid w:val="00852D39"/>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852D39"/>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rsid w:val="00852D39"/>
    <w:rPr>
      <w:rFonts w:ascii="Arial" w:eastAsia="Times New Roman" w:hAnsi="Arial" w:cs="Times New Roman"/>
      <w:b/>
      <w:kern w:val="18"/>
      <w:sz w:val="24"/>
      <w:szCs w:val="20"/>
      <w:lang w:val="es-ES" w:eastAsia="es-ES"/>
    </w:rPr>
  </w:style>
  <w:style w:type="character" w:customStyle="1" w:styleId="Ttulo3Car">
    <w:name w:val="Título 3 Car"/>
    <w:basedOn w:val="Fuentedeprrafopredeter"/>
    <w:link w:val="Ttulo3"/>
    <w:rsid w:val="00852D39"/>
    <w:rPr>
      <w:rFonts w:ascii="Arial" w:eastAsia="Times New Roman" w:hAnsi="Arial" w:cs="Arial"/>
      <w:b/>
      <w:bCs/>
      <w:sz w:val="26"/>
      <w:szCs w:val="26"/>
      <w:lang w:val="es-ES" w:eastAsia="es-ES"/>
    </w:rPr>
  </w:style>
  <w:style w:type="paragraph" w:styleId="Textoindependiente2">
    <w:name w:val="Body Text 2"/>
    <w:basedOn w:val="Normal"/>
    <w:link w:val="Textoindependiente2Car"/>
    <w:semiHidden/>
    <w:rsid w:val="00852D39"/>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semiHidden/>
    <w:rsid w:val="00852D39"/>
    <w:rPr>
      <w:rFonts w:ascii="Bookman Old Style" w:eastAsia="Times New Roman" w:hAnsi="Bookman Old Style" w:cs="Times New Roman"/>
      <w:kern w:val="18"/>
      <w:sz w:val="24"/>
      <w:szCs w:val="20"/>
      <w:lang w:val="es-ES" w:eastAsia="es-ES"/>
    </w:rPr>
  </w:style>
  <w:style w:type="paragraph" w:styleId="Piedepgina">
    <w:name w:val="footer"/>
    <w:basedOn w:val="Normal"/>
    <w:link w:val="PiedepginaCar"/>
    <w:semiHidden/>
    <w:rsid w:val="00852D39"/>
    <w:pPr>
      <w:tabs>
        <w:tab w:val="center" w:pos="4419"/>
        <w:tab w:val="right" w:pos="8838"/>
      </w:tabs>
      <w:spacing w:line="360" w:lineRule="auto"/>
      <w:jc w:val="both"/>
    </w:pPr>
    <w:rPr>
      <w:kern w:val="18"/>
      <w:szCs w:val="20"/>
      <w:lang w:val="es-ES_tradnl"/>
    </w:rPr>
  </w:style>
  <w:style w:type="character" w:customStyle="1" w:styleId="PiedepginaCar">
    <w:name w:val="Pie de página Car"/>
    <w:basedOn w:val="Fuentedeprrafopredeter"/>
    <w:link w:val="Piedepgina"/>
    <w:semiHidden/>
    <w:rsid w:val="00852D39"/>
    <w:rPr>
      <w:rFonts w:ascii="Arial" w:eastAsia="Times New Roman" w:hAnsi="Arial" w:cs="Times New Roman"/>
      <w:kern w:val="18"/>
      <w:sz w:val="24"/>
      <w:szCs w:val="20"/>
      <w:lang w:val="es-ES_tradnl" w:eastAsia="es-ES"/>
    </w:rPr>
  </w:style>
  <w:style w:type="paragraph" w:styleId="Encabezado">
    <w:name w:val="header"/>
    <w:basedOn w:val="Normal"/>
    <w:link w:val="EncabezadoCar"/>
    <w:semiHidden/>
    <w:rsid w:val="00852D39"/>
    <w:pPr>
      <w:tabs>
        <w:tab w:val="center" w:pos="4252"/>
        <w:tab w:val="right" w:pos="8504"/>
      </w:tabs>
    </w:pPr>
  </w:style>
  <w:style w:type="character" w:customStyle="1" w:styleId="EncabezadoCar">
    <w:name w:val="Encabezado Car"/>
    <w:basedOn w:val="Fuentedeprrafopredeter"/>
    <w:link w:val="Encabezado"/>
    <w:semiHidden/>
    <w:rsid w:val="00852D39"/>
    <w:rPr>
      <w:rFonts w:ascii="Arial" w:eastAsia="Times New Roman" w:hAnsi="Arial" w:cs="Times New Roman"/>
      <w:sz w:val="24"/>
      <w:szCs w:val="24"/>
      <w:lang w:val="es-ES" w:eastAsia="es-ES"/>
    </w:rPr>
  </w:style>
  <w:style w:type="paragraph" w:customStyle="1" w:styleId="ecmsonormal">
    <w:name w:val="ec_msonormal"/>
    <w:basedOn w:val="Normal"/>
    <w:rsid w:val="00852D3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22</Pages>
  <Words>5018</Words>
  <Characters>27600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12495209</dc:creator>
  <cp:keywords/>
  <dc:description/>
  <cp:lastModifiedBy> </cp:lastModifiedBy>
  <cp:revision>11</cp:revision>
  <cp:lastPrinted>2014-06-02T18:49:00Z</cp:lastPrinted>
  <dcterms:created xsi:type="dcterms:W3CDTF">2015-01-02T16:22:00Z</dcterms:created>
  <dcterms:modified xsi:type="dcterms:W3CDTF">2015-01-21T13:57:00Z</dcterms:modified>
</cp:coreProperties>
</file>