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24" w:rsidRDefault="002A0424">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2A0424" w:rsidRDefault="002A0424">
      <w:pPr>
        <w:tabs>
          <w:tab w:val="left" w:pos="-720"/>
        </w:tabs>
        <w:suppressAutoHyphens/>
        <w:jc w:val="center"/>
        <w:rPr>
          <w:rFonts w:ascii="Helvetica" w:hAnsi="Helvetica"/>
          <w:b/>
          <w:lang w:val="es-ES_tradnl"/>
        </w:rPr>
      </w:pPr>
    </w:p>
    <w:p w:rsidR="002A0424" w:rsidRDefault="002A0424">
      <w:pPr>
        <w:tabs>
          <w:tab w:val="center" w:pos="4253"/>
        </w:tabs>
        <w:suppressAutoHyphens/>
        <w:jc w:val="center"/>
        <w:rPr>
          <w:rFonts w:ascii="Helvetica" w:hAnsi="Helvetica"/>
          <w:b/>
          <w:lang w:val="es-ES_tradnl"/>
        </w:rPr>
      </w:pPr>
      <w:r>
        <w:rPr>
          <w:rFonts w:ascii="Helvetica" w:hAnsi="Helvetica"/>
          <w:b/>
          <w:lang w:val="es-ES_tradnl"/>
        </w:rPr>
        <w:t>TRIBUNAL DE CUENTAS</w:t>
      </w:r>
    </w:p>
    <w:p w:rsidR="002A0424" w:rsidRDefault="002A0424">
      <w:pPr>
        <w:tabs>
          <w:tab w:val="left" w:pos="-720"/>
        </w:tabs>
        <w:suppressAutoHyphens/>
        <w:jc w:val="center"/>
        <w:rPr>
          <w:rFonts w:ascii="Helvetica" w:hAnsi="Helvetica"/>
          <w:b/>
          <w:lang w:val="es-ES_tradnl"/>
        </w:rPr>
      </w:pPr>
    </w:p>
    <w:p w:rsidR="002A0424" w:rsidRDefault="002A0424">
      <w:pPr>
        <w:tabs>
          <w:tab w:val="center" w:pos="4253"/>
        </w:tabs>
        <w:suppressAutoHyphens/>
        <w:jc w:val="center"/>
        <w:rPr>
          <w:rFonts w:ascii="Helvetica" w:hAnsi="Helvetica"/>
          <w:b/>
          <w:lang w:val="es-ES_tradnl"/>
        </w:rPr>
      </w:pPr>
      <w:r>
        <w:rPr>
          <w:rFonts w:ascii="Helvetica" w:hAnsi="Helvetica"/>
          <w:b/>
          <w:lang w:val="es-ES_tradnl"/>
        </w:rPr>
        <w:t>EN SESION DE FECHA 23 DE DICIEMBRE DE 2014</w:t>
      </w:r>
    </w:p>
    <w:p w:rsidR="002A0424" w:rsidRDefault="002A0424">
      <w:pPr>
        <w:tabs>
          <w:tab w:val="center" w:pos="4253"/>
        </w:tabs>
        <w:suppressAutoHyphens/>
        <w:jc w:val="center"/>
        <w:rPr>
          <w:rFonts w:ascii="Helvetica" w:hAnsi="Helvetica"/>
          <w:b/>
          <w:lang w:val="es-ES_tradnl"/>
        </w:rPr>
      </w:pPr>
    </w:p>
    <w:p w:rsidR="002A0424" w:rsidRPr="002A0424" w:rsidRDefault="002A0424">
      <w:pPr>
        <w:tabs>
          <w:tab w:val="center" w:pos="4253"/>
        </w:tabs>
        <w:suppressAutoHyphens/>
        <w:jc w:val="center"/>
        <w:rPr>
          <w:rFonts w:ascii="Helvetica" w:hAnsi="Helvetica"/>
          <w:b/>
          <w:lang w:val="es-UY"/>
        </w:rPr>
      </w:pPr>
      <w:r w:rsidRPr="002A0424">
        <w:rPr>
          <w:rFonts w:ascii="Helvetica" w:hAnsi="Helvetica"/>
          <w:b/>
          <w:lang w:val="es-UY"/>
        </w:rPr>
        <w:t xml:space="preserve">(E. E. Nº 2014-17-1-0004292, </w:t>
      </w:r>
      <w:proofErr w:type="spellStart"/>
      <w:r w:rsidRPr="002A0424">
        <w:rPr>
          <w:rFonts w:ascii="Helvetica" w:hAnsi="Helvetica"/>
          <w:b/>
          <w:lang w:val="es-UY"/>
        </w:rPr>
        <w:t>Ent</w:t>
      </w:r>
      <w:proofErr w:type="spellEnd"/>
      <w:r w:rsidRPr="002A0424">
        <w:rPr>
          <w:rFonts w:ascii="Helvetica" w:hAnsi="Helvetica"/>
          <w:b/>
          <w:lang w:val="es-UY"/>
        </w:rPr>
        <w:t xml:space="preserve">. N° </w:t>
      </w:r>
      <w:r w:rsidR="00AF3F01">
        <w:rPr>
          <w:rFonts w:ascii="Helvetica" w:hAnsi="Helvetica"/>
          <w:b/>
          <w:lang w:val="es-UY"/>
        </w:rPr>
        <w:t>3250</w:t>
      </w:r>
      <w:r w:rsidRPr="002A0424">
        <w:rPr>
          <w:rFonts w:ascii="Helvetica" w:hAnsi="Helvetica"/>
          <w:b/>
          <w:lang w:val="es-UY"/>
        </w:rPr>
        <w:t>/14)</w:t>
      </w:r>
    </w:p>
    <w:p w:rsidR="002A0424" w:rsidRPr="002A0424" w:rsidRDefault="002A0424">
      <w:pPr>
        <w:tabs>
          <w:tab w:val="center" w:pos="4253"/>
        </w:tabs>
        <w:suppressAutoHyphens/>
        <w:jc w:val="center"/>
        <w:rPr>
          <w:spacing w:val="-3"/>
          <w:lang w:val="es-UY"/>
        </w:rPr>
      </w:pPr>
    </w:p>
    <w:p w:rsidR="002A0424" w:rsidRPr="002A0424" w:rsidRDefault="002A0424">
      <w:pPr>
        <w:tabs>
          <w:tab w:val="center" w:pos="4253"/>
        </w:tabs>
        <w:suppressAutoHyphens/>
        <w:rPr>
          <w:spacing w:val="-3"/>
          <w:lang w:val="es-UY"/>
        </w:rPr>
      </w:pPr>
    </w:p>
    <w:p w:rsidR="002A0424" w:rsidRDefault="002A0424" w:rsidP="002A0424">
      <w:pPr>
        <w:tabs>
          <w:tab w:val="left" w:pos="-720"/>
        </w:tabs>
        <w:suppressAutoHyphens/>
        <w:spacing w:line="360" w:lineRule="auto"/>
        <w:ind w:firstLine="851"/>
        <w:jc w:val="both"/>
        <w:rPr>
          <w:spacing w:val="-3"/>
          <w:lang w:val="es-ES_tradnl"/>
        </w:rPr>
      </w:pPr>
      <w:r>
        <w:rPr>
          <w:b/>
          <w:bCs/>
          <w:spacing w:val="-3"/>
          <w:lang w:val="es-ES_tradnl"/>
        </w:rPr>
        <w:t>VISTO:</w:t>
      </w:r>
      <w:r>
        <w:rPr>
          <w:spacing w:val="-3"/>
          <w:lang w:val="es-ES_tradnl"/>
        </w:rPr>
        <w:t xml:space="preserve"> que este Tribunal ha examinado el Estado de Ejecución Presupuestal del Banco Hipotecario del Uruguay (BHU) correspondiente al Ejercicio 2013;</w:t>
      </w:r>
    </w:p>
    <w:p w:rsidR="002A0424" w:rsidRDefault="002A0424" w:rsidP="002A0424">
      <w:pPr>
        <w:tabs>
          <w:tab w:val="left" w:pos="-720"/>
        </w:tabs>
        <w:suppressAutoHyphens/>
        <w:spacing w:line="360" w:lineRule="auto"/>
        <w:ind w:firstLine="851"/>
        <w:jc w:val="both"/>
        <w:rPr>
          <w:spacing w:val="-3"/>
          <w:lang w:val="es-ES_tradnl"/>
        </w:rPr>
      </w:pPr>
      <w:r>
        <w:rPr>
          <w:b/>
          <w:bCs/>
          <w:spacing w:val="-3"/>
          <w:lang w:val="es-ES_tradnl"/>
        </w:rPr>
        <w:t>RESULTANDO:</w:t>
      </w:r>
      <w:r>
        <w:rPr>
          <w:spacing w:val="-3"/>
          <w:lang w:val="es-ES_tradnl"/>
        </w:rPr>
        <w:t xml:space="preserve"> </w:t>
      </w:r>
      <w: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r>
        <w:rPr>
          <w:spacing w:val="-3"/>
          <w:lang w:val="es-ES_tradnl"/>
        </w:rPr>
        <w:t>;</w:t>
      </w:r>
    </w:p>
    <w:p w:rsidR="002A0424" w:rsidRDefault="002A0424" w:rsidP="002A0424">
      <w:pPr>
        <w:tabs>
          <w:tab w:val="left" w:pos="-720"/>
        </w:tabs>
        <w:suppressAutoHyphens/>
        <w:spacing w:line="360" w:lineRule="auto"/>
        <w:ind w:firstLine="851"/>
        <w:jc w:val="both"/>
        <w:rPr>
          <w:spacing w:val="-3"/>
          <w:lang w:val="es-ES_tradnl"/>
        </w:rPr>
      </w:pPr>
      <w:r>
        <w:rPr>
          <w:b/>
          <w:bCs/>
          <w:spacing w:val="-3"/>
          <w:lang w:val="es-ES_tradnl"/>
        </w:rPr>
        <w:t>CONSIDERANDO:</w:t>
      </w:r>
      <w:r>
        <w:rPr>
          <w:spacing w:val="-3"/>
          <w:lang w:val="es-ES_tradnl"/>
        </w:rPr>
        <w:t xml:space="preserve"> que las conclusiones y evidencias obtenidas son las que se expresan en el Informe de Auditoría que incluye el Dictamen e Informe a la Administración;</w:t>
      </w:r>
    </w:p>
    <w:p w:rsidR="002A0424" w:rsidRDefault="002A0424" w:rsidP="002A0424">
      <w:pPr>
        <w:pStyle w:val="Textoindependiente2"/>
        <w:ind w:firstLine="851"/>
        <w:rPr>
          <w:rFonts w:ascii="Arial" w:hAnsi="Arial" w:cs="Arial"/>
          <w:b w:val="0"/>
          <w:bCs w:val="0"/>
        </w:rPr>
      </w:pPr>
      <w:r>
        <w:rPr>
          <w:rFonts w:ascii="Arial" w:hAnsi="Arial" w:cs="Arial"/>
        </w:rPr>
        <w:t xml:space="preserve">ATENTO: </w:t>
      </w:r>
      <w:r>
        <w:rPr>
          <w:rFonts w:ascii="Arial" w:hAnsi="Arial" w:cs="Arial"/>
          <w:b w:val="0"/>
          <w:bCs w:val="0"/>
        </w:rPr>
        <w:t>a lo dispuesto por el Artículo 211 Literales C) y E) de la Constitución de la República;</w:t>
      </w:r>
    </w:p>
    <w:p w:rsidR="002A0424" w:rsidRDefault="002A0424" w:rsidP="002A0424">
      <w:pPr>
        <w:pStyle w:val="Textoindependiente2"/>
        <w:jc w:val="center"/>
        <w:rPr>
          <w:rFonts w:ascii="Arial" w:hAnsi="Arial" w:cs="Arial"/>
        </w:rPr>
      </w:pPr>
      <w:r>
        <w:rPr>
          <w:rFonts w:ascii="Arial" w:hAnsi="Arial" w:cs="Arial"/>
        </w:rPr>
        <w:t>EL TRIBUNAL ACUERDA</w:t>
      </w:r>
    </w:p>
    <w:p w:rsidR="002A0424" w:rsidRDefault="002A0424" w:rsidP="002A0424">
      <w:pPr>
        <w:pStyle w:val="Textoindependiente2"/>
        <w:ind w:left="284" w:hanging="284"/>
        <w:rPr>
          <w:rFonts w:ascii="Arial" w:hAnsi="Arial" w:cs="Arial"/>
          <w:b w:val="0"/>
          <w:bCs w:val="0"/>
        </w:rPr>
      </w:pPr>
      <w:r>
        <w:rPr>
          <w:rFonts w:ascii="Arial" w:hAnsi="Arial" w:cs="Arial"/>
        </w:rPr>
        <w:t>1)</w:t>
      </w:r>
      <w:r>
        <w:rPr>
          <w:rFonts w:ascii="Arial" w:hAnsi="Arial" w:cs="Arial"/>
          <w:b w:val="0"/>
          <w:bCs w:val="0"/>
        </w:rPr>
        <w:t xml:space="preserve"> Expedirse respecto al Estado de Ejecución Presupuestal correspondiente al Ejercicio 2013 del Banco Hipotecario del Uruguay, en los términos del Informe de Auditoría que se adjunta;</w:t>
      </w:r>
    </w:p>
    <w:p w:rsidR="002A0424" w:rsidRDefault="002A0424" w:rsidP="002A0424">
      <w:pPr>
        <w:pStyle w:val="Textoindependiente2"/>
        <w:ind w:left="284" w:hanging="284"/>
        <w:rPr>
          <w:rFonts w:ascii="Arial" w:hAnsi="Arial" w:cs="Arial"/>
          <w:b w:val="0"/>
          <w:bCs w:val="0"/>
        </w:rPr>
      </w:pPr>
      <w:r>
        <w:rPr>
          <w:rFonts w:ascii="Arial" w:hAnsi="Arial" w:cs="Arial"/>
        </w:rPr>
        <w:t>2)</w:t>
      </w:r>
      <w:r>
        <w:rPr>
          <w:rFonts w:ascii="Arial" w:hAnsi="Arial" w:cs="Arial"/>
          <w:b w:val="0"/>
          <w:bCs w:val="0"/>
        </w:rPr>
        <w:t xml:space="preserve"> Comunicar al Ministerio de Vivienda, Ordenamiento Territorial y Medio Ambiente, al Organismo, a la Oficina de Planeamiento y Presupuest</w:t>
      </w:r>
      <w:r w:rsidR="00872C1F">
        <w:rPr>
          <w:rFonts w:ascii="Arial" w:hAnsi="Arial" w:cs="Arial"/>
          <w:b w:val="0"/>
          <w:bCs w:val="0"/>
        </w:rPr>
        <w:t>o y a los Contadores Delegados;</w:t>
      </w:r>
    </w:p>
    <w:p w:rsidR="002A0424" w:rsidRDefault="002A0424" w:rsidP="002A0424">
      <w:pPr>
        <w:pStyle w:val="Textoindependiente2"/>
        <w:rPr>
          <w:rFonts w:ascii="Arial" w:hAnsi="Arial" w:cs="Arial"/>
          <w:b w:val="0"/>
          <w:bCs w:val="0"/>
        </w:rPr>
      </w:pPr>
      <w:r>
        <w:rPr>
          <w:rFonts w:ascii="Arial" w:hAnsi="Arial" w:cs="Arial"/>
        </w:rPr>
        <w:t>3)</w:t>
      </w:r>
      <w:r>
        <w:rPr>
          <w:rFonts w:ascii="Arial" w:hAnsi="Arial" w:cs="Arial"/>
          <w:b w:val="0"/>
          <w:bCs w:val="0"/>
        </w:rPr>
        <w:t xml:space="preserve"> Dar cuenta a la Asamblea General.</w:t>
      </w:r>
    </w:p>
    <w:p w:rsidR="002A0424" w:rsidRDefault="002A0424" w:rsidP="002A0424">
      <w:pPr>
        <w:pStyle w:val="Textoindependiente2"/>
        <w:ind w:hanging="709"/>
        <w:rPr>
          <w:rFonts w:ascii="Arial" w:hAnsi="Arial" w:cs="Arial"/>
          <w:b w:val="0"/>
          <w:bCs w:val="0"/>
        </w:rPr>
      </w:pPr>
    </w:p>
    <w:p w:rsidR="00587049" w:rsidRDefault="00587049" w:rsidP="00587049">
      <w:pPr>
        <w:spacing w:line="360" w:lineRule="auto"/>
        <w:jc w:val="center"/>
        <w:rPr>
          <w:b/>
          <w:bCs/>
        </w:rPr>
      </w:pPr>
      <w:r>
        <w:rPr>
          <w:b/>
          <w:bCs/>
        </w:rPr>
        <w:lastRenderedPageBreak/>
        <w:t>DICTAMEN</w:t>
      </w:r>
    </w:p>
    <w:p w:rsidR="00587049" w:rsidRDefault="00587049" w:rsidP="00587049">
      <w:pPr>
        <w:spacing w:after="130" w:line="360" w:lineRule="auto"/>
      </w:pPr>
    </w:p>
    <w:p w:rsidR="00587049" w:rsidRDefault="00587049" w:rsidP="00587049">
      <w:pPr>
        <w:spacing w:line="360" w:lineRule="auto"/>
        <w:jc w:val="both"/>
      </w:pPr>
      <w:r>
        <w:t>El Tribunal de Cuentas ha examinado  el Estado de Ejecución Presupuestal del Banco Hipotecario del Uruguay (BHU), correspondiente al Ejercicio finalizado el 31 de diciembre de 2013.</w:t>
      </w:r>
    </w:p>
    <w:p w:rsidR="00587049" w:rsidRDefault="00587049" w:rsidP="00587049">
      <w:pPr>
        <w:spacing w:line="360" w:lineRule="auto"/>
        <w:jc w:val="both"/>
      </w:pPr>
      <w:r>
        <w:t>También se presentan en caso de corresponder, los incumplimientos legales constatados por el Tribunal de Cuentas en el curso de la auditoría efectuada.</w:t>
      </w:r>
    </w:p>
    <w:p w:rsidR="00587049" w:rsidRDefault="00587049" w:rsidP="00587049">
      <w:pPr>
        <w:spacing w:line="360" w:lineRule="auto"/>
        <w:jc w:val="both"/>
        <w:rPr>
          <w:b/>
          <w:bCs/>
        </w:rPr>
      </w:pPr>
    </w:p>
    <w:p w:rsidR="00587049" w:rsidRDefault="00587049" w:rsidP="00587049">
      <w:pPr>
        <w:spacing w:line="360" w:lineRule="auto"/>
        <w:jc w:val="both"/>
        <w:rPr>
          <w:b/>
          <w:bCs/>
        </w:rPr>
      </w:pPr>
      <w:r>
        <w:rPr>
          <w:b/>
          <w:bCs/>
        </w:rPr>
        <w:t>Responsabilidad de la Dirección por el estado de ejecución presupuestal</w:t>
      </w:r>
    </w:p>
    <w:p w:rsidR="00587049" w:rsidRDefault="00587049" w:rsidP="00587049">
      <w:pPr>
        <w:spacing w:line="360" w:lineRule="auto"/>
        <w:jc w:val="both"/>
      </w:pPr>
      <w:r>
        <w:t>La Dirección del</w:t>
      </w:r>
      <w:r>
        <w:rPr>
          <w:b/>
          <w:bCs/>
        </w:rPr>
        <w:t xml:space="preserve"> </w:t>
      </w:r>
      <w:r>
        <w:t>BHU es responsable por la preparación y la razonable presentación de este estado de acuerdo con las normas establecidas en el TOCAF, en el Presupuesto vigente para el Ejercicio 2013 y en la Ordenanza N°75 de fecha 16/09/1998 del Tribunal de Cuentas.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587049" w:rsidRDefault="00587049" w:rsidP="00587049">
      <w:pPr>
        <w:spacing w:line="360" w:lineRule="auto"/>
        <w:jc w:val="both"/>
        <w:rPr>
          <w:b/>
          <w:bCs/>
        </w:rPr>
      </w:pPr>
    </w:p>
    <w:p w:rsidR="00587049" w:rsidRDefault="00587049" w:rsidP="00587049">
      <w:pPr>
        <w:spacing w:line="360" w:lineRule="auto"/>
        <w:jc w:val="both"/>
        <w:rPr>
          <w:b/>
          <w:bCs/>
        </w:rPr>
      </w:pPr>
      <w:r>
        <w:rPr>
          <w:b/>
          <w:bCs/>
        </w:rPr>
        <w:t>Responsabilidad del Auditor</w:t>
      </w:r>
    </w:p>
    <w:p w:rsidR="00587049" w:rsidRDefault="00587049" w:rsidP="00587049">
      <w:pPr>
        <w:spacing w:line="360" w:lineRule="auto"/>
        <w:jc w:val="both"/>
      </w:pPr>
      <w:r>
        <w:t>La responsabilidad del Tribunal de Cuentas es expresar una opinión sobre dicho estado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están lib</w:t>
      </w:r>
      <w:r w:rsidR="004441F1">
        <w:t>res de errores significativos.</w:t>
      </w:r>
    </w:p>
    <w:p w:rsidR="00587049" w:rsidRDefault="00587049" w:rsidP="00587049">
      <w:pPr>
        <w:spacing w:line="360" w:lineRule="auto"/>
        <w:jc w:val="both"/>
      </w:pPr>
      <w: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el estado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587049" w:rsidRDefault="00587049" w:rsidP="00587049">
      <w:pPr>
        <w:spacing w:line="360" w:lineRule="auto"/>
        <w:jc w:val="both"/>
      </w:pPr>
      <w:r>
        <w:t>Se considera que la evidencia de auditoría obtenida brinda una base suficiente y apropiada para sustentar la opinión.</w:t>
      </w:r>
    </w:p>
    <w:p w:rsidR="00587049" w:rsidRDefault="00587049" w:rsidP="00587049">
      <w:pPr>
        <w:spacing w:line="360" w:lineRule="auto"/>
        <w:jc w:val="both"/>
        <w:rPr>
          <w:b/>
          <w:bCs/>
        </w:rPr>
      </w:pPr>
    </w:p>
    <w:p w:rsidR="00587049" w:rsidRDefault="00587049" w:rsidP="00587049">
      <w:pPr>
        <w:spacing w:line="360" w:lineRule="auto"/>
        <w:jc w:val="both"/>
        <w:rPr>
          <w:b/>
          <w:bCs/>
        </w:rPr>
      </w:pPr>
      <w:r>
        <w:rPr>
          <w:b/>
          <w:bCs/>
        </w:rPr>
        <w:t>Opinión</w:t>
      </w:r>
    </w:p>
    <w:p w:rsidR="00587049" w:rsidRDefault="00587049" w:rsidP="00587049">
      <w:pPr>
        <w:spacing w:line="360" w:lineRule="auto"/>
        <w:jc w:val="both"/>
      </w:pPr>
      <w:r>
        <w:t>En opinión del Tribunal de Cuentas, el Estado de Ejecución Presupuestal mencionado presenta razonablemente, en todos sus aspectos importantes, la ejecución presupuestal del BHU correspondiente al Ejercicio finalizado el 31 de diciembre de 2013, de acuerdo con las normas establecidas en el TOCAF, en el Presupuesto vigente para el Ejercicio 2013 y en la Ordenanza N° 75 de fecha 16/09/1998 del Tribunal de Cuentas.</w:t>
      </w:r>
    </w:p>
    <w:p w:rsidR="00587049" w:rsidRDefault="00587049" w:rsidP="00587049">
      <w:pPr>
        <w:pStyle w:val="Sangradetextonormal"/>
        <w:spacing w:after="0" w:line="360" w:lineRule="auto"/>
        <w:jc w:val="both"/>
        <w:rPr>
          <w:rFonts w:ascii="Arial" w:hAnsi="Arial" w:cs="Arial"/>
          <w:sz w:val="24"/>
          <w:szCs w:val="24"/>
        </w:rPr>
      </w:pPr>
      <w:r>
        <w:rPr>
          <w:rFonts w:ascii="Arial" w:hAnsi="Arial" w:cs="Arial"/>
          <w:sz w:val="24"/>
          <w:szCs w:val="24"/>
        </w:rPr>
        <w:t>Con relación a la normativa vigente, en el curso de la auditoría realizada, se ha constatado que no se ha dado cumplimiento a:</w:t>
      </w:r>
    </w:p>
    <w:p w:rsidR="00587049" w:rsidRDefault="00587049" w:rsidP="00587049">
      <w:pPr>
        <w:pStyle w:val="Prrafodelista1"/>
        <w:numPr>
          <w:ilvl w:val="0"/>
          <w:numId w:val="1"/>
        </w:numPr>
        <w:spacing w:after="0" w:line="360" w:lineRule="auto"/>
        <w:ind w:left="714" w:hanging="357"/>
        <w:jc w:val="both"/>
        <w:rPr>
          <w:rFonts w:ascii="Arial" w:hAnsi="Arial" w:cs="Arial"/>
        </w:rPr>
      </w:pPr>
      <w:r>
        <w:rPr>
          <w:rFonts w:ascii="Arial" w:hAnsi="Arial" w:cs="Arial"/>
        </w:rPr>
        <w:t>Artículos 47 de la Ley Nº 18.719 de fecha 27/12/2010 y 38 del TOCAF, por haber observado el Contador Delegado la contratación de personas bajo el régimen de arrendamiento de obra debido a la ausencia de formalidades y trámites requeridos por la normativa mencionada, por un importe de $ 137.868.</w:t>
      </w:r>
    </w:p>
    <w:p w:rsidR="00587049" w:rsidRDefault="00587049" w:rsidP="00587049">
      <w:pPr>
        <w:pStyle w:val="Prrafodelista1"/>
        <w:numPr>
          <w:ilvl w:val="0"/>
          <w:numId w:val="1"/>
        </w:numPr>
        <w:spacing w:after="0" w:line="360" w:lineRule="auto"/>
        <w:ind w:left="714" w:hanging="357"/>
        <w:jc w:val="both"/>
        <w:rPr>
          <w:rFonts w:ascii="Arial" w:hAnsi="Arial" w:cs="Arial"/>
        </w:rPr>
      </w:pPr>
      <w:r>
        <w:rPr>
          <w:rFonts w:ascii="Arial" w:hAnsi="Arial" w:cs="Arial"/>
          <w:spacing w:val="-3"/>
          <w:lang w:val="es-ES_tradnl"/>
        </w:rPr>
        <w:t>Artículo 2 de la Ley Nº 17.613 de fecha 31/12/2002, por haber observado el Contador Delegado la contratación de una entidad para servicios de consultoría sin contar con la autorización del Banco Central del Uruguay, por un importe de $ 1:400.000</w:t>
      </w:r>
      <w:r w:rsidR="00F65579">
        <w:rPr>
          <w:rFonts w:ascii="Arial" w:hAnsi="Arial" w:cs="Arial"/>
        </w:rPr>
        <w:t>.</w:t>
      </w:r>
    </w:p>
    <w:p w:rsidR="00587049" w:rsidRDefault="00587049" w:rsidP="00587049">
      <w:pPr>
        <w:pStyle w:val="Prrafodelista1"/>
        <w:widowControl w:val="0"/>
        <w:numPr>
          <w:ilvl w:val="0"/>
          <w:numId w:val="1"/>
        </w:numPr>
        <w:spacing w:after="0" w:line="360" w:lineRule="auto"/>
        <w:ind w:left="714" w:hanging="357"/>
        <w:jc w:val="both"/>
        <w:rPr>
          <w:rFonts w:ascii="Arial" w:hAnsi="Arial" w:cs="Arial"/>
        </w:rPr>
      </w:pPr>
      <w:r>
        <w:rPr>
          <w:rFonts w:ascii="Arial" w:eastAsia="Arial Unicode MS" w:hAnsi="Arial" w:cs="Arial"/>
          <w:lang w:val="es-ES"/>
        </w:rPr>
        <w:t>Artículo 15 del TOCAF, por haber observado el Contador Delegado 31 gastos sin crédito disponible por un total de $ 33:551.458.</w:t>
      </w:r>
    </w:p>
    <w:p w:rsidR="00587049" w:rsidRDefault="00587049" w:rsidP="00587049">
      <w:pPr>
        <w:pStyle w:val="Prrafodelista1"/>
        <w:widowControl w:val="0"/>
        <w:numPr>
          <w:ilvl w:val="0"/>
          <w:numId w:val="1"/>
        </w:numPr>
        <w:spacing w:after="0" w:line="360" w:lineRule="auto"/>
        <w:ind w:left="714" w:hanging="357"/>
        <w:jc w:val="both"/>
        <w:rPr>
          <w:rFonts w:ascii="Arial" w:hAnsi="Arial" w:cs="Arial"/>
        </w:rPr>
      </w:pPr>
      <w:r>
        <w:rPr>
          <w:rFonts w:ascii="Arial" w:eastAsia="Arial Unicode MS" w:hAnsi="Arial" w:cs="Arial"/>
          <w:lang w:val="es-ES"/>
        </w:rPr>
        <w:t>Artículo 49 de la Ley Nº 18.651 de fecha 09/03/2010 al no contratar una persona con discapacidad de acuerdo a la cantidad de vacantes provistas.</w:t>
      </w:r>
    </w:p>
    <w:p w:rsidR="00587049" w:rsidRDefault="00587049" w:rsidP="00587049">
      <w:pPr>
        <w:pStyle w:val="Prrafodelista1"/>
        <w:widowControl w:val="0"/>
        <w:numPr>
          <w:ilvl w:val="0"/>
          <w:numId w:val="1"/>
        </w:numPr>
        <w:spacing w:after="260" w:line="360" w:lineRule="auto"/>
        <w:jc w:val="both"/>
        <w:rPr>
          <w:rFonts w:ascii="Arial" w:hAnsi="Arial" w:cs="Arial"/>
        </w:rPr>
      </w:pPr>
      <w:r>
        <w:rPr>
          <w:rFonts w:ascii="Arial" w:hAnsi="Arial" w:cs="Arial"/>
        </w:rPr>
        <w:t xml:space="preserve">Artículos 211 Literal B) de la Constitución de la República y 47 de Ley Nº18.719 de fecha 27/12/2010 por utilizar los servicios profesionales de supernumerarios, pagándoles por asunto requerido, configurándose en consecuencia arrendamientos de obra por un total de </w:t>
      </w:r>
      <w:r>
        <w:rPr>
          <w:rFonts w:ascii="Arial" w:hAnsi="Arial" w:cs="Arial"/>
          <w:lang w:val="es-ES"/>
        </w:rPr>
        <w:t>$ 38:878.843</w:t>
      </w:r>
      <w:r>
        <w:rPr>
          <w:rFonts w:ascii="Arial" w:hAnsi="Arial" w:cs="Arial"/>
        </w:rPr>
        <w:t>. No se celebraron contratos por los mismos, no se solicitó autorización al Poder Ejecutivo ni se contó con el Informe de la Oficina de Planeamiento y Presupuesto y de la Oficina Nacional de Servicio Civil.</w:t>
      </w:r>
    </w:p>
    <w:p w:rsidR="00587049" w:rsidRDefault="00587049" w:rsidP="00587049">
      <w:pPr>
        <w:pStyle w:val="Prrafodelista1"/>
        <w:widowControl w:val="0"/>
        <w:spacing w:after="260" w:line="360" w:lineRule="auto"/>
        <w:jc w:val="both"/>
        <w:rPr>
          <w:rFonts w:ascii="Arial" w:hAnsi="Arial" w:cs="Arial"/>
        </w:rPr>
      </w:pPr>
      <w:r>
        <w:rPr>
          <w:rFonts w:ascii="Arial" w:hAnsi="Arial" w:cs="Arial"/>
        </w:rPr>
        <w:t>Los gastos observados por los Contadores Delegados fueron reiterados por los ordenadores competentes y comunicados a este Tribunal.</w:t>
      </w:r>
    </w:p>
    <w:p w:rsidR="00587049" w:rsidRDefault="00587049" w:rsidP="00587049">
      <w:pPr>
        <w:jc w:val="right"/>
      </w:pPr>
      <w:r>
        <w:t>Mont</w:t>
      </w:r>
      <w:r w:rsidR="004441F1">
        <w:t>evideo, 02 de diciembre de 2014</w:t>
      </w:r>
    </w:p>
    <w:p w:rsidR="00587049" w:rsidRDefault="00587049" w:rsidP="00587049">
      <w:pPr>
        <w:jc w:val="right"/>
      </w:pPr>
    </w:p>
    <w:p w:rsidR="00587049" w:rsidRDefault="00587049" w:rsidP="00587049">
      <w:pPr>
        <w:jc w:val="right"/>
      </w:pPr>
    </w:p>
    <w:p w:rsidR="00587049" w:rsidRDefault="00587049" w:rsidP="00587049">
      <w:pPr>
        <w:jc w:val="right"/>
      </w:pPr>
    </w:p>
    <w:p w:rsidR="00587049" w:rsidRDefault="00587049" w:rsidP="00587049">
      <w:pPr>
        <w:jc w:val="right"/>
      </w:pPr>
    </w:p>
    <w:p w:rsidR="00587049" w:rsidRDefault="00587049" w:rsidP="00587049">
      <w:pPr>
        <w:jc w:val="right"/>
      </w:pPr>
    </w:p>
    <w:p w:rsidR="004441F1" w:rsidRDefault="004441F1" w:rsidP="00587049">
      <w:pPr>
        <w:jc w:val="right"/>
      </w:pPr>
    </w:p>
    <w:p w:rsidR="004441F1" w:rsidRDefault="004441F1" w:rsidP="00587049">
      <w:pPr>
        <w:jc w:val="right"/>
      </w:pPr>
    </w:p>
    <w:p w:rsidR="004441F1" w:rsidRDefault="004441F1" w:rsidP="00587049">
      <w:pPr>
        <w:jc w:val="right"/>
      </w:pPr>
    </w:p>
    <w:p w:rsidR="00587049" w:rsidRDefault="00587049" w:rsidP="00587049">
      <w:pPr>
        <w:jc w:val="right"/>
      </w:pPr>
    </w:p>
    <w:p w:rsidR="00872C1F" w:rsidRDefault="00872C1F" w:rsidP="00872C1F">
      <w:pPr>
        <w:pStyle w:val="Ttulo7"/>
        <w:spacing w:before="0" w:after="0" w:line="360" w:lineRule="auto"/>
        <w:ind w:left="720" w:hanging="720"/>
        <w:jc w:val="center"/>
        <w:rPr>
          <w:b/>
          <w:bCs/>
        </w:rPr>
      </w:pPr>
      <w:r>
        <w:rPr>
          <w:b/>
          <w:bCs/>
        </w:rPr>
        <w:t>INFORME A LA ADMINISTRACIÓN</w:t>
      </w:r>
    </w:p>
    <w:p w:rsidR="00872C1F" w:rsidRDefault="00872C1F" w:rsidP="00872C1F">
      <w:pPr>
        <w:suppressAutoHyphens/>
        <w:spacing w:line="360" w:lineRule="auto"/>
        <w:jc w:val="both"/>
        <w:rPr>
          <w:spacing w:val="-3"/>
          <w:lang w:val="es-ES_tradnl"/>
        </w:rPr>
      </w:pPr>
    </w:p>
    <w:p w:rsidR="00872C1F" w:rsidRDefault="00872C1F" w:rsidP="00872C1F">
      <w:pPr>
        <w:pStyle w:val="Textoindependiente"/>
        <w:rPr>
          <w:rFonts w:ascii="Arial" w:hAnsi="Arial" w:cs="Arial"/>
        </w:rPr>
      </w:pPr>
      <w:r>
        <w:rPr>
          <w:rFonts w:ascii="Arial" w:hAnsi="Arial" w:cs="Arial"/>
        </w:rPr>
        <w:t>El Tribunal de Cuentas ha examinado el Estado de Ejecución Presupuestal del Banco Hipotecario del Uruguay (BHU) correspondiente al Ejercicio 2013 y ha emitido su Dictamen.</w:t>
      </w:r>
    </w:p>
    <w:p w:rsidR="00872C1F" w:rsidRDefault="00872C1F" w:rsidP="00872C1F">
      <w:pPr>
        <w:suppressAutoHyphens/>
        <w:spacing w:line="360" w:lineRule="auto"/>
        <w:jc w:val="both"/>
        <w:rPr>
          <w:spacing w:val="-3"/>
          <w:lang w:val="es-ES_tradnl"/>
        </w:rPr>
      </w:pPr>
      <w:r>
        <w:rPr>
          <w:spacing w:val="-3"/>
          <w:lang w:val="es-ES_tradnl"/>
        </w:rPr>
        <w:t>Este informe incluye comentarios que se ha entendido conveniente exponer, relacionados con la evaluación del sistema de control interno de la situación de determinados capítulos y rubros del estado examinado y las disposiciones legales vigentes.</w:t>
      </w:r>
    </w:p>
    <w:p w:rsidR="00872C1F" w:rsidRDefault="00872C1F" w:rsidP="00872C1F">
      <w:pPr>
        <w:suppressAutoHyphens/>
        <w:spacing w:line="360" w:lineRule="auto"/>
        <w:jc w:val="both"/>
        <w:rPr>
          <w:spacing w:val="-3"/>
          <w:lang w:val="es-ES_tradnl"/>
        </w:rPr>
      </w:pPr>
      <w:r>
        <w:rPr>
          <w:spacing w:val="-3"/>
          <w:lang w:val="es-ES_tradnl"/>
        </w:rPr>
        <w:t xml:space="preserve">También se agregan las principales recomendaciones que </w:t>
      </w:r>
      <w:proofErr w:type="gramStart"/>
      <w:r>
        <w:rPr>
          <w:spacing w:val="-3"/>
          <w:lang w:val="es-ES_tradnl"/>
        </w:rPr>
        <w:t>deberá</w:t>
      </w:r>
      <w:proofErr w:type="gramEnd"/>
      <w:r>
        <w:rPr>
          <w:spacing w:val="-3"/>
          <w:lang w:val="es-ES_tradnl"/>
        </w:rPr>
        <w:t xml:space="preserve"> atender el Organismo y una evaluación del cumplimiento de las recomendaciones señaladas en el Informe de Auditoría correspondiente al Ejercicio anterior.</w:t>
      </w:r>
    </w:p>
    <w:p w:rsidR="00872C1F" w:rsidRDefault="00872C1F" w:rsidP="00872C1F">
      <w:pPr>
        <w:suppressAutoHyphens/>
        <w:spacing w:line="360" w:lineRule="auto"/>
        <w:jc w:val="both"/>
        <w:rPr>
          <w:spacing w:val="-3"/>
          <w:lang w:val="es-ES_tradnl"/>
        </w:rPr>
      </w:pPr>
    </w:p>
    <w:p w:rsidR="00872C1F" w:rsidRDefault="00872C1F" w:rsidP="00872C1F">
      <w:pPr>
        <w:numPr>
          <w:ilvl w:val="0"/>
          <w:numId w:val="2"/>
        </w:numPr>
        <w:suppressAutoHyphens/>
        <w:spacing w:line="360" w:lineRule="auto"/>
        <w:jc w:val="both"/>
        <w:rPr>
          <w:b/>
          <w:bCs/>
          <w:spacing w:val="-3"/>
          <w:lang w:val="es-ES_tradnl"/>
        </w:rPr>
      </w:pPr>
      <w:r>
        <w:rPr>
          <w:b/>
          <w:bCs/>
          <w:spacing w:val="-3"/>
          <w:lang w:val="es-ES_tradnl"/>
        </w:rPr>
        <w:t>Aprobación y presentación del Estado de Ejecución Presupuestal</w:t>
      </w:r>
    </w:p>
    <w:p w:rsidR="00872C1F" w:rsidRDefault="00872C1F" w:rsidP="00872C1F">
      <w:pPr>
        <w:suppressAutoHyphens/>
        <w:spacing w:line="360" w:lineRule="auto"/>
        <w:jc w:val="both"/>
        <w:rPr>
          <w:spacing w:val="-3"/>
          <w:lang w:val="es-ES_tradnl"/>
        </w:rPr>
      </w:pPr>
      <w:r>
        <w:rPr>
          <w:spacing w:val="-3"/>
          <w:lang w:val="es-ES_tradnl"/>
        </w:rPr>
        <w:t>El mencionado Estado de Ejecución Presupuestal fue aprobado por Resolución de Directorio Nº 161/14 de fecha 26/05/2014 y remitido a este Tribunal por Nota N</w:t>
      </w:r>
      <w:r>
        <w:rPr>
          <w:lang w:val="es-ES_tradnl"/>
        </w:rPr>
        <w:t>º</w:t>
      </w:r>
      <w:r>
        <w:rPr>
          <w:spacing w:val="-3"/>
          <w:lang w:val="es-ES_tradnl"/>
        </w:rPr>
        <w:t xml:space="preserve"> 083/13 de la misma fecha, dando cumplimiento a lo establecido en el Numeral 1 de la Ordenanza Nº 75 de 16/09/1998.</w:t>
      </w:r>
    </w:p>
    <w:p w:rsidR="00872C1F" w:rsidRDefault="00872C1F" w:rsidP="00872C1F">
      <w:pPr>
        <w:suppressAutoHyphens/>
        <w:spacing w:line="360" w:lineRule="auto"/>
        <w:jc w:val="both"/>
        <w:rPr>
          <w:spacing w:val="-3"/>
          <w:lang w:val="es-ES_tradnl"/>
        </w:rPr>
      </w:pPr>
      <w:r>
        <w:rPr>
          <w:spacing w:val="-3"/>
          <w:lang w:val="es-ES_tradnl"/>
        </w:rPr>
        <w:t>Los créditos definitivos expuestos en el referido estado comprenden las asignaciones del Presupuesto 2013, aprobado por Decreto Nº 435/12 de 28/12/2012 y las correspondientes trasposiciones y adecuaciones realizadas durante el ejercicio 2013, las que fueron aprobadas previamente por la Oficina de Planeamiento y Presupuesto y comunicadas al Tribunal de Cuentas.</w:t>
      </w:r>
    </w:p>
    <w:p w:rsidR="00872C1F" w:rsidRDefault="00872C1F" w:rsidP="00872C1F">
      <w:pPr>
        <w:suppressAutoHyphens/>
        <w:spacing w:line="360" w:lineRule="auto"/>
        <w:jc w:val="both"/>
        <w:rPr>
          <w:spacing w:val="-3"/>
          <w:lang w:val="es-ES_tradnl"/>
        </w:rPr>
      </w:pPr>
    </w:p>
    <w:p w:rsidR="00872C1F" w:rsidRDefault="00872C1F" w:rsidP="00872C1F">
      <w:pPr>
        <w:numPr>
          <w:ilvl w:val="0"/>
          <w:numId w:val="2"/>
        </w:numPr>
        <w:tabs>
          <w:tab w:val="left" w:pos="-720"/>
        </w:tabs>
        <w:suppressAutoHyphens/>
        <w:spacing w:line="360" w:lineRule="auto"/>
        <w:jc w:val="both"/>
        <w:rPr>
          <w:b/>
          <w:bCs/>
          <w:spacing w:val="-3"/>
        </w:rPr>
      </w:pPr>
      <w:r>
        <w:rPr>
          <w:b/>
          <w:bCs/>
          <w:spacing w:val="-3"/>
        </w:rPr>
        <w:t>Evaluación del Sistema de Control Interno</w:t>
      </w:r>
    </w:p>
    <w:p w:rsidR="00872C1F" w:rsidRDefault="00872C1F" w:rsidP="00872C1F">
      <w:pPr>
        <w:pStyle w:val="Sangra3detindependiente"/>
        <w:spacing w:line="360" w:lineRule="auto"/>
        <w:ind w:left="0"/>
        <w:jc w:val="both"/>
        <w:rPr>
          <w:rFonts w:ascii="Arial" w:hAnsi="Arial" w:cs="Arial"/>
          <w:sz w:val="24"/>
          <w:szCs w:val="24"/>
        </w:rPr>
      </w:pPr>
      <w:r>
        <w:rPr>
          <w:rFonts w:ascii="Arial" w:hAnsi="Arial" w:cs="Arial"/>
          <w:sz w:val="24"/>
          <w:szCs w:val="24"/>
        </w:rPr>
        <w:t>Se ha evaluado el sistema de control interno, diseñado e implementado por el BHU a efectos de verificar cual es el ambiente, las actividades y procedimientos de control, los canales de información y comunicación y el monitoreo del mismo llevado a cabo por la Dirección. El propósito de dicha evaluación fue determinar la confiabilidad de la información contable a efectos de determinar los procedimientos de auditoría a aplicar y el cumplimiento de las disposiciones legales vigentes.</w:t>
      </w:r>
    </w:p>
    <w:p w:rsidR="00872C1F" w:rsidRDefault="00872C1F" w:rsidP="00872C1F">
      <w:pPr>
        <w:pStyle w:val="Sangra3detindependiente"/>
        <w:spacing w:line="360" w:lineRule="auto"/>
        <w:ind w:left="0"/>
        <w:jc w:val="both"/>
        <w:rPr>
          <w:rFonts w:ascii="Arial" w:hAnsi="Arial" w:cs="Arial"/>
          <w:sz w:val="24"/>
          <w:szCs w:val="24"/>
        </w:rPr>
      </w:pPr>
      <w:r>
        <w:rPr>
          <w:rFonts w:ascii="Arial" w:hAnsi="Arial" w:cs="Arial"/>
          <w:sz w:val="24"/>
          <w:szCs w:val="24"/>
        </w:rPr>
        <w:t>La evaluación practicada permitió constatar que el sistema de contabilidad presupuestal no procesa la totalidad de las operaciones sino que es necesario complementar la misma con el sistema de contabilidad patrimonial.</w:t>
      </w:r>
    </w:p>
    <w:p w:rsidR="00872C1F" w:rsidRDefault="00872C1F" w:rsidP="00872C1F">
      <w:pPr>
        <w:pStyle w:val="Prrafodelista"/>
        <w:spacing w:line="360" w:lineRule="auto"/>
        <w:ind w:left="1440"/>
        <w:jc w:val="both"/>
        <w:rPr>
          <w:rFonts w:ascii="Arial" w:hAnsi="Arial" w:cs="Arial"/>
          <w:sz w:val="24"/>
          <w:szCs w:val="24"/>
        </w:rPr>
      </w:pPr>
    </w:p>
    <w:p w:rsidR="00872C1F" w:rsidRDefault="00872C1F" w:rsidP="00872C1F">
      <w:pPr>
        <w:numPr>
          <w:ilvl w:val="0"/>
          <w:numId w:val="2"/>
        </w:numPr>
        <w:suppressAutoHyphens/>
        <w:spacing w:line="360" w:lineRule="auto"/>
        <w:jc w:val="both"/>
        <w:rPr>
          <w:b/>
          <w:bCs/>
          <w:spacing w:val="-3"/>
          <w:lang w:val="es-ES_tradnl"/>
        </w:rPr>
      </w:pPr>
      <w:r>
        <w:rPr>
          <w:b/>
          <w:bCs/>
          <w:spacing w:val="-3"/>
          <w:lang w:val="es-ES_tradnl"/>
        </w:rPr>
        <w:t>Recomendaciones</w:t>
      </w:r>
    </w:p>
    <w:p w:rsidR="00872C1F" w:rsidRDefault="00872C1F" w:rsidP="00872C1F">
      <w:pPr>
        <w:suppressAutoHyphens/>
        <w:spacing w:line="360" w:lineRule="auto"/>
        <w:ind w:left="360"/>
        <w:jc w:val="both"/>
        <w:rPr>
          <w:b/>
          <w:bCs/>
          <w:spacing w:val="-3"/>
          <w:lang w:val="es-ES_tradnl"/>
        </w:rPr>
      </w:pPr>
    </w:p>
    <w:p w:rsidR="00872C1F" w:rsidRDefault="00872C1F" w:rsidP="00872C1F">
      <w:pPr>
        <w:suppressAutoHyphens/>
        <w:spacing w:line="360" w:lineRule="auto"/>
        <w:jc w:val="both"/>
        <w:rPr>
          <w:b/>
          <w:bCs/>
        </w:rPr>
      </w:pPr>
      <w:r>
        <w:rPr>
          <w:b/>
          <w:bCs/>
          <w:spacing w:val="-3"/>
          <w:lang w:val="es-ES_tradnl"/>
        </w:rPr>
        <w:t xml:space="preserve">3.1 </w:t>
      </w:r>
      <w:r>
        <w:rPr>
          <w:b/>
          <w:bCs/>
        </w:rPr>
        <w:t xml:space="preserve">Recomendaciones de ejercicios anteriores no cumplidas </w:t>
      </w:r>
    </w:p>
    <w:p w:rsidR="00872C1F" w:rsidRDefault="00872C1F" w:rsidP="00872C1F">
      <w:pPr>
        <w:suppressAutoHyphens/>
        <w:spacing w:line="360" w:lineRule="auto"/>
        <w:ind w:left="360"/>
        <w:jc w:val="both"/>
        <w:rPr>
          <w:b/>
          <w:bCs/>
        </w:rPr>
      </w:pPr>
    </w:p>
    <w:p w:rsidR="00872C1F" w:rsidRDefault="00872C1F" w:rsidP="00872C1F">
      <w:pPr>
        <w:pStyle w:val="Prrafodelista"/>
        <w:suppressAutoHyphens/>
        <w:spacing w:line="360" w:lineRule="auto"/>
        <w:ind w:left="0"/>
        <w:jc w:val="both"/>
        <w:rPr>
          <w:rFonts w:ascii="Arial" w:hAnsi="Arial" w:cs="Arial"/>
          <w:sz w:val="24"/>
          <w:szCs w:val="24"/>
        </w:rPr>
      </w:pPr>
      <w:r>
        <w:rPr>
          <w:rFonts w:ascii="Arial" w:hAnsi="Arial" w:cs="Arial"/>
          <w:b/>
          <w:bCs/>
          <w:sz w:val="24"/>
          <w:szCs w:val="24"/>
        </w:rPr>
        <w:t>3.1.1</w:t>
      </w:r>
      <w:r>
        <w:rPr>
          <w:rFonts w:ascii="Arial" w:hAnsi="Arial" w:cs="Arial"/>
          <w:sz w:val="24"/>
          <w:szCs w:val="24"/>
        </w:rPr>
        <w:t xml:space="preserve"> No se dio cumplimiento a lo dispuesto por los Artículos 211 Literal B) de la Constitución de la República y 47 de la Ley Nº 18.719 de 27/12/2010, respecto a las formalidades previstas para los Contratos de Arrendamiento de Obra con los supernumerarios.</w:t>
      </w:r>
    </w:p>
    <w:p w:rsidR="00872C1F" w:rsidRDefault="00872C1F" w:rsidP="00872C1F">
      <w:pPr>
        <w:pStyle w:val="Prrafodelista"/>
        <w:suppressAutoHyphens/>
        <w:spacing w:line="360" w:lineRule="auto"/>
        <w:ind w:left="0"/>
        <w:jc w:val="both"/>
        <w:rPr>
          <w:rFonts w:ascii="Arial" w:hAnsi="Arial" w:cs="Arial"/>
          <w:sz w:val="24"/>
          <w:szCs w:val="24"/>
        </w:rPr>
      </w:pPr>
    </w:p>
    <w:p w:rsidR="00872C1F" w:rsidRDefault="00872C1F" w:rsidP="00872C1F">
      <w:pPr>
        <w:pStyle w:val="Prrafodelista"/>
        <w:suppressAutoHyphens/>
        <w:spacing w:line="360" w:lineRule="auto"/>
        <w:ind w:left="0"/>
        <w:jc w:val="both"/>
        <w:rPr>
          <w:rFonts w:ascii="Arial" w:hAnsi="Arial" w:cs="Arial"/>
          <w:sz w:val="24"/>
          <w:szCs w:val="24"/>
        </w:rPr>
      </w:pPr>
      <w:r>
        <w:rPr>
          <w:rFonts w:ascii="Arial" w:hAnsi="Arial" w:cs="Arial"/>
          <w:b/>
          <w:bCs/>
          <w:sz w:val="24"/>
          <w:szCs w:val="24"/>
        </w:rPr>
        <w:t>3.1.2</w:t>
      </w:r>
      <w:r>
        <w:rPr>
          <w:rFonts w:ascii="Arial" w:hAnsi="Arial" w:cs="Arial"/>
          <w:sz w:val="24"/>
          <w:szCs w:val="24"/>
        </w:rPr>
        <w:t xml:space="preserve"> No se unificaron en un sistema contable todos los conceptos que integran el Estado de Ejecución Presupuestal.</w:t>
      </w:r>
    </w:p>
    <w:p w:rsidR="00872C1F" w:rsidRDefault="00872C1F" w:rsidP="00872C1F">
      <w:pPr>
        <w:pStyle w:val="Prrafodelista"/>
        <w:suppressAutoHyphens/>
        <w:spacing w:line="360" w:lineRule="auto"/>
        <w:ind w:left="0"/>
        <w:jc w:val="both"/>
        <w:rPr>
          <w:rFonts w:ascii="Arial" w:hAnsi="Arial" w:cs="Arial"/>
        </w:rPr>
      </w:pPr>
    </w:p>
    <w:p w:rsidR="00872C1F" w:rsidRDefault="00872C1F" w:rsidP="00872C1F">
      <w:pPr>
        <w:suppressAutoHyphens/>
        <w:spacing w:line="360" w:lineRule="auto"/>
        <w:jc w:val="both"/>
        <w:rPr>
          <w:b/>
          <w:bCs/>
          <w:spacing w:val="-3"/>
          <w:lang w:val="es-ES_tradnl"/>
        </w:rPr>
      </w:pPr>
      <w:r>
        <w:rPr>
          <w:b/>
          <w:bCs/>
          <w:spacing w:val="-3"/>
          <w:lang w:val="es-ES_tradnl"/>
        </w:rPr>
        <w:t>3.2 Recomendaciones del presente Ejercicio</w:t>
      </w:r>
    </w:p>
    <w:p w:rsidR="00872C1F" w:rsidRDefault="00872C1F" w:rsidP="00872C1F">
      <w:pPr>
        <w:pStyle w:val="Prrafodelista"/>
        <w:suppressAutoHyphens/>
        <w:spacing w:line="360" w:lineRule="auto"/>
        <w:ind w:left="0"/>
        <w:jc w:val="both"/>
        <w:rPr>
          <w:rFonts w:ascii="Arial" w:hAnsi="Arial" w:cs="Arial"/>
          <w:sz w:val="24"/>
          <w:szCs w:val="24"/>
        </w:rPr>
      </w:pPr>
      <w:r>
        <w:rPr>
          <w:rFonts w:ascii="Arial" w:hAnsi="Arial" w:cs="Arial"/>
          <w:b/>
          <w:bCs/>
          <w:spacing w:val="-3"/>
          <w:sz w:val="24"/>
          <w:szCs w:val="24"/>
          <w:lang w:val="es-ES_tradnl"/>
        </w:rPr>
        <w:t xml:space="preserve">3.2.1 </w:t>
      </w:r>
      <w:r>
        <w:rPr>
          <w:rFonts w:ascii="Arial" w:hAnsi="Arial" w:cs="Arial"/>
          <w:spacing w:val="-3"/>
          <w:sz w:val="24"/>
          <w:szCs w:val="24"/>
          <w:lang w:val="es-ES_tradnl"/>
        </w:rPr>
        <w:t xml:space="preserve"> Se </w:t>
      </w:r>
      <w:r>
        <w:rPr>
          <w:rFonts w:ascii="Arial" w:hAnsi="Arial" w:cs="Arial"/>
          <w:sz w:val="24"/>
          <w:szCs w:val="24"/>
        </w:rPr>
        <w:t>reiteran las recomendaciones no cumplidas de ejercicios anteriores.</w:t>
      </w:r>
    </w:p>
    <w:p w:rsidR="00872C1F" w:rsidRDefault="00872C1F" w:rsidP="00872C1F">
      <w:pPr>
        <w:pStyle w:val="Textoindependiente3"/>
        <w:spacing w:line="360" w:lineRule="auto"/>
        <w:jc w:val="both"/>
        <w:rPr>
          <w:spacing w:val="-3"/>
          <w:sz w:val="24"/>
          <w:szCs w:val="24"/>
          <w:lang w:val="es-ES_tradnl"/>
        </w:rPr>
      </w:pPr>
      <w:r>
        <w:rPr>
          <w:b/>
          <w:bCs/>
          <w:sz w:val="24"/>
          <w:szCs w:val="24"/>
        </w:rPr>
        <w:t>3.2.2</w:t>
      </w:r>
      <w:r>
        <w:rPr>
          <w:spacing w:val="-3"/>
          <w:sz w:val="24"/>
          <w:szCs w:val="24"/>
          <w:lang w:val="es-ES_tradnl"/>
        </w:rPr>
        <w:t xml:space="preserve"> Implementar los mecanismos necesarios para evitar que se vuelvan a producir los incumplimientos de las disposiciones legales señalados en el Dictamen.</w:t>
      </w:r>
    </w:p>
    <w:p w:rsidR="00872C1F" w:rsidRDefault="00872C1F" w:rsidP="00872C1F">
      <w:pPr>
        <w:pStyle w:val="Prrafodelista"/>
        <w:suppressAutoHyphens/>
        <w:spacing w:line="360" w:lineRule="auto"/>
        <w:jc w:val="right"/>
        <w:rPr>
          <w:rFonts w:ascii="Arial" w:hAnsi="Arial" w:cs="Arial"/>
          <w:sz w:val="24"/>
          <w:szCs w:val="24"/>
        </w:rPr>
      </w:pPr>
      <w:r>
        <w:rPr>
          <w:rFonts w:ascii="Arial" w:hAnsi="Arial" w:cs="Arial"/>
          <w:sz w:val="24"/>
          <w:szCs w:val="24"/>
        </w:rPr>
        <w:t>Mont</w:t>
      </w:r>
      <w:r w:rsidR="00B81CB8">
        <w:rPr>
          <w:rFonts w:ascii="Arial" w:hAnsi="Arial" w:cs="Arial"/>
          <w:sz w:val="24"/>
          <w:szCs w:val="24"/>
        </w:rPr>
        <w:t>evideo, 02 de diciembre de 2014</w:t>
      </w:r>
    </w:p>
    <w:p w:rsidR="00872C1F" w:rsidRDefault="00872C1F" w:rsidP="00872C1F">
      <w:pPr>
        <w:pStyle w:val="Prrafodelista"/>
        <w:suppressAutoHyphens/>
        <w:spacing w:line="360" w:lineRule="auto"/>
        <w:rPr>
          <w:rFonts w:ascii="Arial" w:hAnsi="Arial" w:cs="Arial"/>
          <w:sz w:val="24"/>
          <w:szCs w:val="24"/>
        </w:rPr>
      </w:pPr>
    </w:p>
    <w:p w:rsidR="00872C1F" w:rsidRDefault="00872C1F" w:rsidP="00872C1F">
      <w:pPr>
        <w:jc w:val="right"/>
      </w:pPr>
      <w:r>
        <w:t>Montevideo, 30 de diciembre de 2014.-</w:t>
      </w:r>
    </w:p>
    <w:p w:rsidR="00872C1F" w:rsidRDefault="00872C1F" w:rsidP="00872C1F">
      <w:pPr>
        <w:jc w:val="right"/>
      </w:pPr>
    </w:p>
    <w:p w:rsidR="00872C1F" w:rsidRDefault="00872C1F" w:rsidP="00872C1F">
      <w:pPr>
        <w:jc w:val="right"/>
      </w:pPr>
    </w:p>
    <w:p w:rsidR="00872C1F" w:rsidRDefault="00872C1F" w:rsidP="00872C1F">
      <w:pPr>
        <w:spacing w:line="360" w:lineRule="auto"/>
      </w:pPr>
      <w:r>
        <w:t>Señor</w:t>
      </w:r>
    </w:p>
    <w:p w:rsidR="00872C1F" w:rsidRDefault="00872C1F" w:rsidP="00872C1F">
      <w:pPr>
        <w:spacing w:line="360" w:lineRule="auto"/>
      </w:pPr>
      <w:r>
        <w:t>Ministro de Educación y Cultura</w:t>
      </w:r>
    </w:p>
    <w:p w:rsidR="00872C1F" w:rsidRPr="00872C1F" w:rsidRDefault="00872C1F" w:rsidP="00872C1F">
      <w:pPr>
        <w:spacing w:line="360" w:lineRule="auto"/>
        <w:rPr>
          <w:lang w:val="en-US"/>
        </w:rPr>
      </w:pPr>
      <w:r w:rsidRPr="00872C1F">
        <w:rPr>
          <w:lang w:val="en-US"/>
        </w:rPr>
        <w:t>Dr. Ricardo Ehrlich</w:t>
      </w:r>
    </w:p>
    <w:p w:rsidR="00872C1F" w:rsidRPr="00872C1F" w:rsidRDefault="00872C1F" w:rsidP="00872C1F">
      <w:pPr>
        <w:spacing w:line="360" w:lineRule="auto"/>
        <w:jc w:val="right"/>
        <w:rPr>
          <w:lang w:val="en-US"/>
        </w:rPr>
      </w:pPr>
    </w:p>
    <w:p w:rsidR="00872C1F" w:rsidRPr="00872C1F" w:rsidRDefault="00872C1F" w:rsidP="00872C1F">
      <w:pPr>
        <w:spacing w:line="360" w:lineRule="auto"/>
        <w:jc w:val="right"/>
        <w:rPr>
          <w:lang w:val="en-US"/>
        </w:rPr>
      </w:pPr>
      <w:r w:rsidRPr="00872C1F">
        <w:rPr>
          <w:lang w:val="en-US"/>
        </w:rPr>
        <w:t>E.E. 2014-17-1-0004292</w:t>
      </w:r>
    </w:p>
    <w:p w:rsidR="00872C1F" w:rsidRDefault="00872C1F" w:rsidP="00872C1F">
      <w:pPr>
        <w:spacing w:line="360" w:lineRule="auto"/>
        <w:jc w:val="right"/>
        <w:rPr>
          <w:lang w:val="es-ES_tradnl"/>
        </w:rPr>
      </w:pPr>
      <w:r>
        <w:rPr>
          <w:lang w:val="es-ES_tradnl"/>
        </w:rPr>
        <w:t>Entrada 3250/14</w:t>
      </w:r>
    </w:p>
    <w:p w:rsidR="00872C1F" w:rsidRDefault="00872C1F" w:rsidP="00872C1F">
      <w:pPr>
        <w:spacing w:line="360" w:lineRule="auto"/>
        <w:jc w:val="right"/>
        <w:rPr>
          <w:lang w:val="es-ES_tradnl"/>
        </w:rPr>
      </w:pPr>
      <w:r>
        <w:rPr>
          <w:lang w:val="es-ES_tradnl"/>
        </w:rPr>
        <w:t>Oficio 10798/14</w:t>
      </w:r>
    </w:p>
    <w:p w:rsidR="00872C1F" w:rsidRDefault="00872C1F">
      <w:pPr>
        <w:spacing w:line="360" w:lineRule="auto"/>
        <w:jc w:val="both"/>
        <w:rPr>
          <w:lang w:val="es-ES_tradnl"/>
        </w:rPr>
      </w:pPr>
      <w:r>
        <w:rPr>
          <w:lang w:val="es-ES_tradnl"/>
        </w:rPr>
        <w:tab/>
      </w:r>
    </w:p>
    <w:p w:rsidR="00872C1F" w:rsidRDefault="00872C1F">
      <w:pPr>
        <w:spacing w:line="360" w:lineRule="auto"/>
        <w:ind w:firstLine="708"/>
        <w:jc w:val="both"/>
      </w:pPr>
      <w:r>
        <w:t>El Tribunal de Cuentas, en oportunidad de dictaminar sobre el Estado de Ejecución Presupuestal del ejercicio 2013 del Banco Hipotecario del Uruguay (BHU), verificó que dicho Organismo ha dado cumplimiento a los Artículos 226 de la Ley Nº 18172 de 31/08/2007 y 17 de la Ley Nº 17.904 de 7/10/2005.</w:t>
      </w:r>
    </w:p>
    <w:p w:rsidR="00872C1F" w:rsidRDefault="00872C1F">
      <w:pPr>
        <w:spacing w:line="360" w:lineRule="auto"/>
      </w:pPr>
    </w:p>
    <w:p w:rsidR="00872C1F" w:rsidRDefault="00872C1F">
      <w:pPr>
        <w:suppressAutoHyphens/>
        <w:spacing w:line="360" w:lineRule="auto"/>
        <w:ind w:firstLine="567"/>
        <w:jc w:val="both"/>
      </w:pPr>
      <w:r>
        <w:tab/>
        <w:t>El BHU realizó gastos en publicidad durante el ejercicio 2013 por pautas publicitarias con privados por un total de $ 10:896.807, de los cuales $10:151.087 corresponden a publicidad en televisión y $ 745.720 a publicidad en radio. Lo contratado para televisión en el Canal 5 asciende a la cantidad de $ 2:029.426 y para radio en las radiodifusoras del SODRE asciende a $149.144 lo que representa el 20% en ambos casos.</w:t>
      </w:r>
    </w:p>
    <w:p w:rsidR="00872C1F" w:rsidRDefault="00872C1F">
      <w:pPr>
        <w:spacing w:line="360" w:lineRule="auto"/>
        <w:jc w:val="both"/>
      </w:pPr>
    </w:p>
    <w:p w:rsidR="00872C1F" w:rsidRDefault="00B81CB8" w:rsidP="00872C1F">
      <w:pPr>
        <w:widowControl w:val="0"/>
        <w:tabs>
          <w:tab w:val="left" w:pos="-720"/>
        </w:tabs>
        <w:suppressAutoHyphens/>
        <w:spacing w:line="360" w:lineRule="auto"/>
        <w:jc w:val="right"/>
        <w:rPr>
          <w:snapToGrid w:val="0"/>
        </w:rPr>
      </w:pPr>
      <w:r>
        <w:rPr>
          <w:snapToGrid w:val="0"/>
        </w:rPr>
        <w:t>Saludamos a Usted atentamente</w:t>
      </w:r>
    </w:p>
    <w:p w:rsidR="00872C1F" w:rsidRDefault="00872C1F" w:rsidP="00872C1F">
      <w:pPr>
        <w:widowControl w:val="0"/>
        <w:tabs>
          <w:tab w:val="left" w:pos="-720"/>
        </w:tabs>
        <w:suppressAutoHyphens/>
        <w:spacing w:line="360" w:lineRule="auto"/>
        <w:jc w:val="right"/>
        <w:rPr>
          <w:snapToGrid w:val="0"/>
        </w:rPr>
      </w:pPr>
    </w:p>
    <w:p w:rsidR="00872C1F" w:rsidRDefault="00872C1F" w:rsidP="00872C1F">
      <w:pPr>
        <w:widowControl w:val="0"/>
        <w:tabs>
          <w:tab w:val="left" w:pos="-720"/>
        </w:tabs>
        <w:suppressAutoHyphens/>
        <w:spacing w:line="360" w:lineRule="auto"/>
        <w:jc w:val="right"/>
        <w:rPr>
          <w:snapToGrid w:val="0"/>
        </w:rPr>
      </w:pPr>
    </w:p>
    <w:p w:rsidR="00872C1F" w:rsidRDefault="00872C1F" w:rsidP="00872C1F">
      <w:pPr>
        <w:widowControl w:val="0"/>
        <w:tabs>
          <w:tab w:val="left" w:pos="-720"/>
        </w:tabs>
        <w:suppressAutoHyphens/>
        <w:spacing w:line="360" w:lineRule="auto"/>
        <w:jc w:val="right"/>
        <w:rPr>
          <w:snapToGrid w:val="0"/>
        </w:rPr>
      </w:pPr>
    </w:p>
    <w:p w:rsidR="00587049" w:rsidRPr="00872C1F" w:rsidRDefault="00872C1F" w:rsidP="00872C1F">
      <w:pPr>
        <w:widowControl w:val="0"/>
        <w:tabs>
          <w:tab w:val="left" w:pos="-720"/>
        </w:tabs>
        <w:suppressAutoHyphens/>
        <w:spacing w:line="360" w:lineRule="auto"/>
        <w:ind w:hanging="567"/>
        <w:rPr>
          <w:lang w:val="es-ES_tradnl"/>
        </w:rPr>
      </w:pPr>
      <w:proofErr w:type="gramStart"/>
      <w:r>
        <w:rPr>
          <w:snapToGrid w:val="0"/>
        </w:rPr>
        <w:t>dc</w:t>
      </w:r>
      <w:proofErr w:type="gramEnd"/>
    </w:p>
    <w:sectPr w:rsidR="00587049" w:rsidRPr="00872C1F" w:rsidSect="002A0424">
      <w:pgSz w:w="11906" w:h="16838" w:code="9"/>
      <w:pgMar w:top="3402"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461F9"/>
    <w:multiLevelType w:val="hybridMultilevel"/>
    <w:tmpl w:val="159EA2D2"/>
    <w:lvl w:ilvl="0" w:tplc="E410F34E">
      <w:start w:val="1"/>
      <w:numFmt w:val="decimal"/>
      <w:lvlText w:val="%1."/>
      <w:lvlJc w:val="left"/>
      <w:pPr>
        <w:tabs>
          <w:tab w:val="num" w:pos="357"/>
        </w:tabs>
        <w:ind w:left="360" w:hanging="360"/>
      </w:pPr>
      <w:rPr>
        <w:rFonts w:ascii="Times New Roman" w:hAnsi="Times New Roman" w:cs="Times New Roman" w:hint="default"/>
      </w:rPr>
    </w:lvl>
    <w:lvl w:ilvl="1" w:tplc="89BA3A66">
      <w:numFmt w:val="none"/>
      <w:lvlText w:val=""/>
      <w:lvlJc w:val="left"/>
      <w:pPr>
        <w:tabs>
          <w:tab w:val="num" w:pos="360"/>
        </w:tabs>
      </w:pPr>
      <w:rPr>
        <w:rFonts w:ascii="Times New Roman" w:hAnsi="Times New Roman" w:cs="Times New Roman"/>
      </w:rPr>
    </w:lvl>
    <w:lvl w:ilvl="2" w:tplc="A66867AE">
      <w:numFmt w:val="none"/>
      <w:lvlText w:val=""/>
      <w:lvlJc w:val="left"/>
      <w:pPr>
        <w:tabs>
          <w:tab w:val="num" w:pos="360"/>
        </w:tabs>
      </w:pPr>
      <w:rPr>
        <w:rFonts w:ascii="Times New Roman" w:hAnsi="Times New Roman" w:cs="Times New Roman"/>
      </w:rPr>
    </w:lvl>
    <w:lvl w:ilvl="3" w:tplc="168C3DAA">
      <w:numFmt w:val="none"/>
      <w:lvlText w:val=""/>
      <w:lvlJc w:val="left"/>
      <w:pPr>
        <w:tabs>
          <w:tab w:val="num" w:pos="360"/>
        </w:tabs>
      </w:pPr>
      <w:rPr>
        <w:rFonts w:ascii="Times New Roman" w:hAnsi="Times New Roman" w:cs="Times New Roman"/>
      </w:rPr>
    </w:lvl>
    <w:lvl w:ilvl="4" w:tplc="FE98B1D8">
      <w:numFmt w:val="none"/>
      <w:lvlText w:val=""/>
      <w:lvlJc w:val="left"/>
      <w:pPr>
        <w:tabs>
          <w:tab w:val="num" w:pos="360"/>
        </w:tabs>
      </w:pPr>
      <w:rPr>
        <w:rFonts w:ascii="Times New Roman" w:hAnsi="Times New Roman" w:cs="Times New Roman"/>
      </w:rPr>
    </w:lvl>
    <w:lvl w:ilvl="5" w:tplc="3D2E756A">
      <w:numFmt w:val="none"/>
      <w:lvlText w:val=""/>
      <w:lvlJc w:val="left"/>
      <w:pPr>
        <w:tabs>
          <w:tab w:val="num" w:pos="360"/>
        </w:tabs>
      </w:pPr>
      <w:rPr>
        <w:rFonts w:ascii="Times New Roman" w:hAnsi="Times New Roman" w:cs="Times New Roman"/>
      </w:rPr>
    </w:lvl>
    <w:lvl w:ilvl="6" w:tplc="D14CCB0C">
      <w:numFmt w:val="none"/>
      <w:lvlText w:val=""/>
      <w:lvlJc w:val="left"/>
      <w:pPr>
        <w:tabs>
          <w:tab w:val="num" w:pos="360"/>
        </w:tabs>
      </w:pPr>
      <w:rPr>
        <w:rFonts w:ascii="Times New Roman" w:hAnsi="Times New Roman" w:cs="Times New Roman"/>
      </w:rPr>
    </w:lvl>
    <w:lvl w:ilvl="7" w:tplc="1C0EC1AC">
      <w:numFmt w:val="none"/>
      <w:lvlText w:val=""/>
      <w:lvlJc w:val="left"/>
      <w:pPr>
        <w:tabs>
          <w:tab w:val="num" w:pos="360"/>
        </w:tabs>
      </w:pPr>
      <w:rPr>
        <w:rFonts w:ascii="Times New Roman" w:hAnsi="Times New Roman" w:cs="Times New Roman"/>
      </w:rPr>
    </w:lvl>
    <w:lvl w:ilvl="8" w:tplc="70B2E708">
      <w:numFmt w:val="none"/>
      <w:lvlText w:val=""/>
      <w:lvlJc w:val="left"/>
      <w:pPr>
        <w:tabs>
          <w:tab w:val="num" w:pos="360"/>
        </w:tabs>
      </w:pPr>
      <w:rPr>
        <w:rFonts w:ascii="Times New Roman" w:hAnsi="Times New Roman" w:cs="Times New Roman"/>
      </w:rPr>
    </w:lvl>
  </w:abstractNum>
  <w:abstractNum w:abstractNumId="1">
    <w:nsid w:val="577B4D1B"/>
    <w:multiLevelType w:val="hybridMultilevel"/>
    <w:tmpl w:val="3918A044"/>
    <w:lvl w:ilvl="0" w:tplc="380A0001">
      <w:start w:val="1"/>
      <w:numFmt w:val="bullet"/>
      <w:lvlText w:val=""/>
      <w:lvlJc w:val="left"/>
      <w:pPr>
        <w:ind w:left="720" w:hanging="360"/>
      </w:pPr>
      <w:rPr>
        <w:rFonts w:ascii="Symbol" w:hAnsi="Symbol" w:cs="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cs="Wingdings" w:hint="default"/>
      </w:rPr>
    </w:lvl>
    <w:lvl w:ilvl="3" w:tplc="380A0001">
      <w:start w:val="1"/>
      <w:numFmt w:val="bullet"/>
      <w:lvlText w:val=""/>
      <w:lvlJc w:val="left"/>
      <w:pPr>
        <w:ind w:left="2880" w:hanging="360"/>
      </w:pPr>
      <w:rPr>
        <w:rFonts w:ascii="Symbol" w:hAnsi="Symbol" w:cs="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cs="Wingdings" w:hint="default"/>
      </w:rPr>
    </w:lvl>
    <w:lvl w:ilvl="6" w:tplc="380A0001">
      <w:start w:val="1"/>
      <w:numFmt w:val="bullet"/>
      <w:lvlText w:val=""/>
      <w:lvlJc w:val="left"/>
      <w:pPr>
        <w:ind w:left="5040" w:hanging="360"/>
      </w:pPr>
      <w:rPr>
        <w:rFonts w:ascii="Symbol" w:hAnsi="Symbol" w:cs="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24"/>
    <w:rsid w:val="002A0424"/>
    <w:rsid w:val="004441F1"/>
    <w:rsid w:val="00587049"/>
    <w:rsid w:val="0063716B"/>
    <w:rsid w:val="00697D7B"/>
    <w:rsid w:val="00872C1F"/>
    <w:rsid w:val="00964A4C"/>
    <w:rsid w:val="00AF3F01"/>
    <w:rsid w:val="00B81CB8"/>
    <w:rsid w:val="00C418EA"/>
    <w:rsid w:val="00F6557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24"/>
    <w:pPr>
      <w:spacing w:after="0" w:line="240" w:lineRule="auto"/>
    </w:pPr>
    <w:rPr>
      <w:rFonts w:ascii="Arial" w:eastAsiaTheme="minorEastAsia" w:hAnsi="Arial" w:cs="Arial"/>
      <w:sz w:val="24"/>
      <w:szCs w:val="24"/>
      <w:lang w:val="es-ES" w:eastAsia="es-ES"/>
    </w:rPr>
  </w:style>
  <w:style w:type="paragraph" w:styleId="Ttulo1">
    <w:name w:val="heading 1"/>
    <w:basedOn w:val="Normal"/>
    <w:next w:val="Normal"/>
    <w:link w:val="Ttulo1Car"/>
    <w:uiPriority w:val="99"/>
    <w:qFormat/>
    <w:rsid w:val="002A0424"/>
    <w:pPr>
      <w:keepNext/>
      <w:tabs>
        <w:tab w:val="center" w:pos="4253"/>
      </w:tabs>
      <w:suppressAutoHyphens/>
      <w:spacing w:line="360" w:lineRule="auto"/>
      <w:jc w:val="both"/>
      <w:outlineLvl w:val="0"/>
    </w:pPr>
    <w:rPr>
      <w:rFonts w:ascii="Helvetica" w:hAnsi="Helvetica" w:cs="Helvetica"/>
      <w:b/>
      <w:bCs/>
      <w:lang w:val="es-ES_tradnl"/>
    </w:rPr>
  </w:style>
  <w:style w:type="paragraph" w:styleId="Ttulo7">
    <w:name w:val="heading 7"/>
    <w:basedOn w:val="Normal"/>
    <w:next w:val="Normal"/>
    <w:link w:val="Ttulo7Car"/>
    <w:uiPriority w:val="99"/>
    <w:qFormat/>
    <w:rsid w:val="00872C1F"/>
    <w:pPr>
      <w:widowControl w:val="0"/>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A0424"/>
    <w:rPr>
      <w:rFonts w:ascii="Helvetica" w:eastAsiaTheme="minorEastAsia" w:hAnsi="Helvetica" w:cs="Helvetica"/>
      <w:b/>
      <w:bCs/>
      <w:sz w:val="24"/>
      <w:szCs w:val="24"/>
      <w:lang w:val="es-ES_tradnl" w:eastAsia="es-ES"/>
    </w:rPr>
  </w:style>
  <w:style w:type="paragraph" w:styleId="Prrafodelista">
    <w:name w:val="List Paragraph"/>
    <w:basedOn w:val="Normal"/>
    <w:uiPriority w:val="99"/>
    <w:qFormat/>
    <w:rsid w:val="002A0424"/>
    <w:pPr>
      <w:widowControl w:val="0"/>
      <w:ind w:left="720"/>
    </w:pPr>
    <w:rPr>
      <w:rFonts w:ascii="Courier New" w:hAnsi="Courier New" w:cs="Courier New"/>
      <w:sz w:val="20"/>
      <w:szCs w:val="20"/>
    </w:rPr>
  </w:style>
  <w:style w:type="paragraph" w:styleId="Textoindependiente2">
    <w:name w:val="Body Text 2"/>
    <w:basedOn w:val="Normal"/>
    <w:link w:val="Textoindependiente2Car"/>
    <w:uiPriority w:val="99"/>
    <w:rsid w:val="002A0424"/>
    <w:pPr>
      <w:widowControl w:val="0"/>
      <w:tabs>
        <w:tab w:val="left" w:pos="-720"/>
      </w:tabs>
      <w:suppressAutoHyphens/>
      <w:spacing w:line="360" w:lineRule="auto"/>
      <w:jc w:val="both"/>
    </w:pPr>
    <w:rPr>
      <w:rFonts w:ascii="Bookman Old Style" w:hAnsi="Bookman Old Style" w:cs="Bookman Old Style"/>
      <w:b/>
      <w:bCs/>
      <w:spacing w:val="-3"/>
      <w:lang w:val="es-ES_tradnl"/>
    </w:rPr>
  </w:style>
  <w:style w:type="character" w:customStyle="1" w:styleId="Textoindependiente2Car">
    <w:name w:val="Texto independiente 2 Car"/>
    <w:basedOn w:val="Fuentedeprrafopredeter"/>
    <w:link w:val="Textoindependiente2"/>
    <w:uiPriority w:val="99"/>
    <w:rsid w:val="002A0424"/>
    <w:rPr>
      <w:rFonts w:ascii="Bookman Old Style" w:eastAsiaTheme="minorEastAsia" w:hAnsi="Bookman Old Style" w:cs="Bookman Old Style"/>
      <w:b/>
      <w:bCs/>
      <w:spacing w:val="-3"/>
      <w:sz w:val="24"/>
      <w:szCs w:val="24"/>
      <w:lang w:val="es-ES_tradnl" w:eastAsia="es-ES"/>
    </w:rPr>
  </w:style>
  <w:style w:type="paragraph" w:customStyle="1" w:styleId="Prrafodelista1">
    <w:name w:val="Párrafo de lista1"/>
    <w:basedOn w:val="Normal"/>
    <w:uiPriority w:val="99"/>
    <w:rsid w:val="00587049"/>
    <w:pPr>
      <w:spacing w:after="200" w:line="276" w:lineRule="auto"/>
      <w:ind w:left="720"/>
    </w:pPr>
    <w:rPr>
      <w:rFonts w:ascii="Calibri" w:hAnsi="Calibri" w:cs="Calibri"/>
      <w:lang w:val="es-UY" w:eastAsia="es-UY"/>
    </w:rPr>
  </w:style>
  <w:style w:type="paragraph" w:styleId="Sangradetextonormal">
    <w:name w:val="Body Text Indent"/>
    <w:basedOn w:val="Normal"/>
    <w:link w:val="SangradetextonormalCar"/>
    <w:uiPriority w:val="99"/>
    <w:rsid w:val="00587049"/>
    <w:pPr>
      <w:spacing w:after="120" w:line="480" w:lineRule="auto"/>
    </w:pPr>
    <w:rPr>
      <w:rFonts w:ascii="Calibri" w:hAnsi="Calibri" w:cs="Calibri"/>
      <w:sz w:val="22"/>
      <w:szCs w:val="22"/>
      <w:lang w:val="es-UY" w:eastAsia="es-UY"/>
    </w:rPr>
  </w:style>
  <w:style w:type="character" w:customStyle="1" w:styleId="SangradetextonormalCar">
    <w:name w:val="Sangría de texto normal Car"/>
    <w:basedOn w:val="Fuentedeprrafopredeter"/>
    <w:link w:val="Sangradetextonormal"/>
    <w:uiPriority w:val="99"/>
    <w:rsid w:val="00587049"/>
    <w:rPr>
      <w:rFonts w:ascii="Calibri" w:eastAsiaTheme="minorEastAsia" w:hAnsi="Calibri" w:cs="Calibri"/>
      <w:lang w:eastAsia="es-UY"/>
    </w:rPr>
  </w:style>
  <w:style w:type="character" w:customStyle="1" w:styleId="Ttulo7Car">
    <w:name w:val="Título 7 Car"/>
    <w:basedOn w:val="Fuentedeprrafopredeter"/>
    <w:link w:val="Ttulo7"/>
    <w:uiPriority w:val="99"/>
    <w:rsid w:val="00872C1F"/>
    <w:rPr>
      <w:rFonts w:ascii="Arial" w:eastAsiaTheme="minorEastAsia" w:hAnsi="Arial" w:cs="Arial"/>
      <w:sz w:val="24"/>
      <w:szCs w:val="24"/>
      <w:lang w:val="es-ES" w:eastAsia="es-ES"/>
    </w:rPr>
  </w:style>
  <w:style w:type="paragraph" w:styleId="Textoindependiente">
    <w:name w:val="Body Text"/>
    <w:basedOn w:val="Normal"/>
    <w:link w:val="TextoindependienteCar"/>
    <w:uiPriority w:val="99"/>
    <w:rsid w:val="00872C1F"/>
    <w:pPr>
      <w:widowControl w:val="0"/>
      <w:tabs>
        <w:tab w:val="left" w:pos="-720"/>
      </w:tabs>
      <w:suppressAutoHyphens/>
      <w:spacing w:line="360" w:lineRule="auto"/>
      <w:jc w:val="both"/>
    </w:pPr>
    <w:rPr>
      <w:rFonts w:ascii="Bookman Old Style" w:hAnsi="Bookman Old Style" w:cs="Bookman Old Style"/>
      <w:spacing w:val="-3"/>
      <w:lang w:val="es-ES_tradnl"/>
    </w:rPr>
  </w:style>
  <w:style w:type="character" w:customStyle="1" w:styleId="TextoindependienteCar">
    <w:name w:val="Texto independiente Car"/>
    <w:basedOn w:val="Fuentedeprrafopredeter"/>
    <w:link w:val="Textoindependiente"/>
    <w:uiPriority w:val="99"/>
    <w:rsid w:val="00872C1F"/>
    <w:rPr>
      <w:rFonts w:ascii="Bookman Old Style" w:eastAsiaTheme="minorEastAsia" w:hAnsi="Bookman Old Style" w:cs="Bookman Old Style"/>
      <w:spacing w:val="-3"/>
      <w:sz w:val="24"/>
      <w:szCs w:val="24"/>
      <w:lang w:val="es-ES_tradnl" w:eastAsia="es-ES"/>
    </w:rPr>
  </w:style>
  <w:style w:type="paragraph" w:styleId="Sangra3detindependiente">
    <w:name w:val="Body Text Indent 3"/>
    <w:basedOn w:val="Normal"/>
    <w:link w:val="Sangra3detindependienteCar"/>
    <w:uiPriority w:val="99"/>
    <w:rsid w:val="00872C1F"/>
    <w:pPr>
      <w:widowControl w:val="0"/>
      <w:spacing w:after="120"/>
      <w:ind w:left="283"/>
    </w:pPr>
    <w:rPr>
      <w:rFonts w:ascii="Courier New" w:hAnsi="Courier New" w:cs="Courier New"/>
      <w:sz w:val="16"/>
      <w:szCs w:val="16"/>
    </w:rPr>
  </w:style>
  <w:style w:type="character" w:customStyle="1" w:styleId="Sangra3detindependienteCar">
    <w:name w:val="Sangría 3 de t. independiente Car"/>
    <w:basedOn w:val="Fuentedeprrafopredeter"/>
    <w:link w:val="Sangra3detindependiente"/>
    <w:uiPriority w:val="99"/>
    <w:rsid w:val="00872C1F"/>
    <w:rPr>
      <w:rFonts w:ascii="Courier New" w:eastAsiaTheme="minorEastAsia" w:hAnsi="Courier New" w:cs="Courier New"/>
      <w:sz w:val="16"/>
      <w:szCs w:val="16"/>
      <w:lang w:val="es-ES" w:eastAsia="es-ES"/>
    </w:rPr>
  </w:style>
  <w:style w:type="paragraph" w:styleId="Textoindependiente3">
    <w:name w:val="Body Text 3"/>
    <w:basedOn w:val="Normal"/>
    <w:link w:val="Textoindependiente3Car"/>
    <w:uiPriority w:val="99"/>
    <w:rsid w:val="00872C1F"/>
    <w:pPr>
      <w:spacing w:after="120"/>
    </w:pPr>
    <w:rPr>
      <w:sz w:val="16"/>
      <w:szCs w:val="16"/>
    </w:rPr>
  </w:style>
  <w:style w:type="character" w:customStyle="1" w:styleId="Textoindependiente3Car">
    <w:name w:val="Texto independiente 3 Car"/>
    <w:basedOn w:val="Fuentedeprrafopredeter"/>
    <w:link w:val="Textoindependiente3"/>
    <w:uiPriority w:val="99"/>
    <w:rsid w:val="00872C1F"/>
    <w:rPr>
      <w:rFonts w:ascii="Arial" w:eastAsiaTheme="minorEastAsia" w:hAnsi="Arial" w:cs="Arial"/>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24"/>
    <w:pPr>
      <w:spacing w:after="0" w:line="240" w:lineRule="auto"/>
    </w:pPr>
    <w:rPr>
      <w:rFonts w:ascii="Arial" w:eastAsiaTheme="minorEastAsia" w:hAnsi="Arial" w:cs="Arial"/>
      <w:sz w:val="24"/>
      <w:szCs w:val="24"/>
      <w:lang w:val="es-ES" w:eastAsia="es-ES"/>
    </w:rPr>
  </w:style>
  <w:style w:type="paragraph" w:styleId="Ttulo1">
    <w:name w:val="heading 1"/>
    <w:basedOn w:val="Normal"/>
    <w:next w:val="Normal"/>
    <w:link w:val="Ttulo1Car"/>
    <w:uiPriority w:val="99"/>
    <w:qFormat/>
    <w:rsid w:val="002A0424"/>
    <w:pPr>
      <w:keepNext/>
      <w:tabs>
        <w:tab w:val="center" w:pos="4253"/>
      </w:tabs>
      <w:suppressAutoHyphens/>
      <w:spacing w:line="360" w:lineRule="auto"/>
      <w:jc w:val="both"/>
      <w:outlineLvl w:val="0"/>
    </w:pPr>
    <w:rPr>
      <w:rFonts w:ascii="Helvetica" w:hAnsi="Helvetica" w:cs="Helvetica"/>
      <w:b/>
      <w:bCs/>
      <w:lang w:val="es-ES_tradnl"/>
    </w:rPr>
  </w:style>
  <w:style w:type="paragraph" w:styleId="Ttulo7">
    <w:name w:val="heading 7"/>
    <w:basedOn w:val="Normal"/>
    <w:next w:val="Normal"/>
    <w:link w:val="Ttulo7Car"/>
    <w:uiPriority w:val="99"/>
    <w:qFormat/>
    <w:rsid w:val="00872C1F"/>
    <w:pPr>
      <w:widowControl w:val="0"/>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A0424"/>
    <w:rPr>
      <w:rFonts w:ascii="Helvetica" w:eastAsiaTheme="minorEastAsia" w:hAnsi="Helvetica" w:cs="Helvetica"/>
      <w:b/>
      <w:bCs/>
      <w:sz w:val="24"/>
      <w:szCs w:val="24"/>
      <w:lang w:val="es-ES_tradnl" w:eastAsia="es-ES"/>
    </w:rPr>
  </w:style>
  <w:style w:type="paragraph" w:styleId="Prrafodelista">
    <w:name w:val="List Paragraph"/>
    <w:basedOn w:val="Normal"/>
    <w:uiPriority w:val="99"/>
    <w:qFormat/>
    <w:rsid w:val="002A0424"/>
    <w:pPr>
      <w:widowControl w:val="0"/>
      <w:ind w:left="720"/>
    </w:pPr>
    <w:rPr>
      <w:rFonts w:ascii="Courier New" w:hAnsi="Courier New" w:cs="Courier New"/>
      <w:sz w:val="20"/>
      <w:szCs w:val="20"/>
    </w:rPr>
  </w:style>
  <w:style w:type="paragraph" w:styleId="Textoindependiente2">
    <w:name w:val="Body Text 2"/>
    <w:basedOn w:val="Normal"/>
    <w:link w:val="Textoindependiente2Car"/>
    <w:uiPriority w:val="99"/>
    <w:rsid w:val="002A0424"/>
    <w:pPr>
      <w:widowControl w:val="0"/>
      <w:tabs>
        <w:tab w:val="left" w:pos="-720"/>
      </w:tabs>
      <w:suppressAutoHyphens/>
      <w:spacing w:line="360" w:lineRule="auto"/>
      <w:jc w:val="both"/>
    </w:pPr>
    <w:rPr>
      <w:rFonts w:ascii="Bookman Old Style" w:hAnsi="Bookman Old Style" w:cs="Bookman Old Style"/>
      <w:b/>
      <w:bCs/>
      <w:spacing w:val="-3"/>
      <w:lang w:val="es-ES_tradnl"/>
    </w:rPr>
  </w:style>
  <w:style w:type="character" w:customStyle="1" w:styleId="Textoindependiente2Car">
    <w:name w:val="Texto independiente 2 Car"/>
    <w:basedOn w:val="Fuentedeprrafopredeter"/>
    <w:link w:val="Textoindependiente2"/>
    <w:uiPriority w:val="99"/>
    <w:rsid w:val="002A0424"/>
    <w:rPr>
      <w:rFonts w:ascii="Bookman Old Style" w:eastAsiaTheme="minorEastAsia" w:hAnsi="Bookman Old Style" w:cs="Bookman Old Style"/>
      <w:b/>
      <w:bCs/>
      <w:spacing w:val="-3"/>
      <w:sz w:val="24"/>
      <w:szCs w:val="24"/>
      <w:lang w:val="es-ES_tradnl" w:eastAsia="es-ES"/>
    </w:rPr>
  </w:style>
  <w:style w:type="paragraph" w:customStyle="1" w:styleId="Prrafodelista1">
    <w:name w:val="Párrafo de lista1"/>
    <w:basedOn w:val="Normal"/>
    <w:uiPriority w:val="99"/>
    <w:rsid w:val="00587049"/>
    <w:pPr>
      <w:spacing w:after="200" w:line="276" w:lineRule="auto"/>
      <w:ind w:left="720"/>
    </w:pPr>
    <w:rPr>
      <w:rFonts w:ascii="Calibri" w:hAnsi="Calibri" w:cs="Calibri"/>
      <w:lang w:val="es-UY" w:eastAsia="es-UY"/>
    </w:rPr>
  </w:style>
  <w:style w:type="paragraph" w:styleId="Sangradetextonormal">
    <w:name w:val="Body Text Indent"/>
    <w:basedOn w:val="Normal"/>
    <w:link w:val="SangradetextonormalCar"/>
    <w:uiPriority w:val="99"/>
    <w:rsid w:val="00587049"/>
    <w:pPr>
      <w:spacing w:after="120" w:line="480" w:lineRule="auto"/>
    </w:pPr>
    <w:rPr>
      <w:rFonts w:ascii="Calibri" w:hAnsi="Calibri" w:cs="Calibri"/>
      <w:sz w:val="22"/>
      <w:szCs w:val="22"/>
      <w:lang w:val="es-UY" w:eastAsia="es-UY"/>
    </w:rPr>
  </w:style>
  <w:style w:type="character" w:customStyle="1" w:styleId="SangradetextonormalCar">
    <w:name w:val="Sangría de texto normal Car"/>
    <w:basedOn w:val="Fuentedeprrafopredeter"/>
    <w:link w:val="Sangradetextonormal"/>
    <w:uiPriority w:val="99"/>
    <w:rsid w:val="00587049"/>
    <w:rPr>
      <w:rFonts w:ascii="Calibri" w:eastAsiaTheme="minorEastAsia" w:hAnsi="Calibri" w:cs="Calibri"/>
      <w:lang w:eastAsia="es-UY"/>
    </w:rPr>
  </w:style>
  <w:style w:type="character" w:customStyle="1" w:styleId="Ttulo7Car">
    <w:name w:val="Título 7 Car"/>
    <w:basedOn w:val="Fuentedeprrafopredeter"/>
    <w:link w:val="Ttulo7"/>
    <w:uiPriority w:val="99"/>
    <w:rsid w:val="00872C1F"/>
    <w:rPr>
      <w:rFonts w:ascii="Arial" w:eastAsiaTheme="minorEastAsia" w:hAnsi="Arial" w:cs="Arial"/>
      <w:sz w:val="24"/>
      <w:szCs w:val="24"/>
      <w:lang w:val="es-ES" w:eastAsia="es-ES"/>
    </w:rPr>
  </w:style>
  <w:style w:type="paragraph" w:styleId="Textoindependiente">
    <w:name w:val="Body Text"/>
    <w:basedOn w:val="Normal"/>
    <w:link w:val="TextoindependienteCar"/>
    <w:uiPriority w:val="99"/>
    <w:rsid w:val="00872C1F"/>
    <w:pPr>
      <w:widowControl w:val="0"/>
      <w:tabs>
        <w:tab w:val="left" w:pos="-720"/>
      </w:tabs>
      <w:suppressAutoHyphens/>
      <w:spacing w:line="360" w:lineRule="auto"/>
      <w:jc w:val="both"/>
    </w:pPr>
    <w:rPr>
      <w:rFonts w:ascii="Bookman Old Style" w:hAnsi="Bookman Old Style" w:cs="Bookman Old Style"/>
      <w:spacing w:val="-3"/>
      <w:lang w:val="es-ES_tradnl"/>
    </w:rPr>
  </w:style>
  <w:style w:type="character" w:customStyle="1" w:styleId="TextoindependienteCar">
    <w:name w:val="Texto independiente Car"/>
    <w:basedOn w:val="Fuentedeprrafopredeter"/>
    <w:link w:val="Textoindependiente"/>
    <w:uiPriority w:val="99"/>
    <w:rsid w:val="00872C1F"/>
    <w:rPr>
      <w:rFonts w:ascii="Bookman Old Style" w:eastAsiaTheme="minorEastAsia" w:hAnsi="Bookman Old Style" w:cs="Bookman Old Style"/>
      <w:spacing w:val="-3"/>
      <w:sz w:val="24"/>
      <w:szCs w:val="24"/>
      <w:lang w:val="es-ES_tradnl" w:eastAsia="es-ES"/>
    </w:rPr>
  </w:style>
  <w:style w:type="paragraph" w:styleId="Sangra3detindependiente">
    <w:name w:val="Body Text Indent 3"/>
    <w:basedOn w:val="Normal"/>
    <w:link w:val="Sangra3detindependienteCar"/>
    <w:uiPriority w:val="99"/>
    <w:rsid w:val="00872C1F"/>
    <w:pPr>
      <w:widowControl w:val="0"/>
      <w:spacing w:after="120"/>
      <w:ind w:left="283"/>
    </w:pPr>
    <w:rPr>
      <w:rFonts w:ascii="Courier New" w:hAnsi="Courier New" w:cs="Courier New"/>
      <w:sz w:val="16"/>
      <w:szCs w:val="16"/>
    </w:rPr>
  </w:style>
  <w:style w:type="character" w:customStyle="1" w:styleId="Sangra3detindependienteCar">
    <w:name w:val="Sangría 3 de t. independiente Car"/>
    <w:basedOn w:val="Fuentedeprrafopredeter"/>
    <w:link w:val="Sangra3detindependiente"/>
    <w:uiPriority w:val="99"/>
    <w:rsid w:val="00872C1F"/>
    <w:rPr>
      <w:rFonts w:ascii="Courier New" w:eastAsiaTheme="minorEastAsia" w:hAnsi="Courier New" w:cs="Courier New"/>
      <w:sz w:val="16"/>
      <w:szCs w:val="16"/>
      <w:lang w:val="es-ES" w:eastAsia="es-ES"/>
    </w:rPr>
  </w:style>
  <w:style w:type="paragraph" w:styleId="Textoindependiente3">
    <w:name w:val="Body Text 3"/>
    <w:basedOn w:val="Normal"/>
    <w:link w:val="Textoindependiente3Car"/>
    <w:uiPriority w:val="99"/>
    <w:rsid w:val="00872C1F"/>
    <w:pPr>
      <w:spacing w:after="120"/>
    </w:pPr>
    <w:rPr>
      <w:sz w:val="16"/>
      <w:szCs w:val="16"/>
    </w:rPr>
  </w:style>
  <w:style w:type="character" w:customStyle="1" w:styleId="Textoindependiente3Car">
    <w:name w:val="Texto independiente 3 Car"/>
    <w:basedOn w:val="Fuentedeprrafopredeter"/>
    <w:link w:val="Textoindependiente3"/>
    <w:uiPriority w:val="99"/>
    <w:rsid w:val="00872C1F"/>
    <w:rPr>
      <w:rFonts w:ascii="Arial" w:eastAsiaTheme="minorEastAsia" w:hAnsi="Arial" w:cs="Arial"/>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1505</Words>
  <Characters>8279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27391107</dc:creator>
  <cp:keywords/>
  <dc:description/>
  <cp:lastModifiedBy> </cp:lastModifiedBy>
  <cp:revision>4</cp:revision>
  <dcterms:created xsi:type="dcterms:W3CDTF">2014-12-30T16:08:00Z</dcterms:created>
  <dcterms:modified xsi:type="dcterms:W3CDTF">2015-01-19T13:33:00Z</dcterms:modified>
</cp:coreProperties>
</file>