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07" w:rsidRDefault="00876707">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876707" w:rsidRDefault="00876707">
      <w:pPr>
        <w:tabs>
          <w:tab w:val="left" w:pos="-720"/>
        </w:tabs>
        <w:suppressAutoHyphens/>
        <w:jc w:val="center"/>
        <w:rPr>
          <w:rFonts w:ascii="Helvetica" w:hAnsi="Helvetica"/>
          <w:b/>
          <w:lang w:val="es-ES_tradnl"/>
        </w:rPr>
      </w:pPr>
    </w:p>
    <w:p w:rsidR="00876707" w:rsidRDefault="00876707">
      <w:pPr>
        <w:tabs>
          <w:tab w:val="center" w:pos="4253"/>
        </w:tabs>
        <w:suppressAutoHyphens/>
        <w:jc w:val="center"/>
        <w:rPr>
          <w:rFonts w:ascii="Helvetica" w:hAnsi="Helvetica"/>
          <w:b/>
          <w:lang w:val="es-ES_tradnl"/>
        </w:rPr>
      </w:pPr>
      <w:r>
        <w:rPr>
          <w:rFonts w:ascii="Helvetica" w:hAnsi="Helvetica"/>
          <w:b/>
          <w:lang w:val="es-ES_tradnl"/>
        </w:rPr>
        <w:t>TRIBUNAL DE CUENTAS</w:t>
      </w:r>
    </w:p>
    <w:p w:rsidR="00876707" w:rsidRDefault="00876707">
      <w:pPr>
        <w:tabs>
          <w:tab w:val="left" w:pos="-720"/>
        </w:tabs>
        <w:suppressAutoHyphens/>
        <w:jc w:val="center"/>
        <w:rPr>
          <w:rFonts w:ascii="Helvetica" w:hAnsi="Helvetica"/>
          <w:b/>
          <w:lang w:val="es-ES_tradnl"/>
        </w:rPr>
      </w:pPr>
    </w:p>
    <w:p w:rsidR="00876707" w:rsidRDefault="00876707">
      <w:pPr>
        <w:tabs>
          <w:tab w:val="center" w:pos="4253"/>
        </w:tabs>
        <w:suppressAutoHyphens/>
        <w:jc w:val="center"/>
        <w:rPr>
          <w:rFonts w:ascii="Helvetica" w:hAnsi="Helvetica"/>
          <w:b/>
          <w:lang w:val="es-ES_tradnl"/>
        </w:rPr>
      </w:pPr>
      <w:r>
        <w:rPr>
          <w:rFonts w:ascii="Helvetica" w:hAnsi="Helvetica"/>
          <w:b/>
          <w:lang w:val="es-ES_tradnl"/>
        </w:rPr>
        <w:t>EN SESION DE FECHA 17 DE DICIEMBRE DE 2014</w:t>
      </w:r>
    </w:p>
    <w:p w:rsidR="00876707" w:rsidRDefault="00876707">
      <w:pPr>
        <w:tabs>
          <w:tab w:val="center" w:pos="4253"/>
        </w:tabs>
        <w:suppressAutoHyphens/>
        <w:jc w:val="center"/>
        <w:rPr>
          <w:rFonts w:ascii="Helvetica" w:hAnsi="Helvetica"/>
          <w:b/>
          <w:lang w:val="es-ES_tradnl"/>
        </w:rPr>
      </w:pPr>
    </w:p>
    <w:p w:rsidR="00876707" w:rsidRPr="00876707" w:rsidRDefault="00876707">
      <w:pPr>
        <w:tabs>
          <w:tab w:val="center" w:pos="4253"/>
        </w:tabs>
        <w:suppressAutoHyphens/>
        <w:jc w:val="center"/>
        <w:rPr>
          <w:rFonts w:ascii="Helvetica" w:hAnsi="Helvetica"/>
          <w:b/>
          <w:lang w:val="es-UY"/>
        </w:rPr>
      </w:pPr>
      <w:r w:rsidRPr="00876707">
        <w:rPr>
          <w:rFonts w:ascii="Helvetica" w:hAnsi="Helvetica"/>
          <w:b/>
          <w:lang w:val="es-UY"/>
        </w:rPr>
        <w:t>(E. E. Nº 2014-17-1-0005582, Ent. N° 4309/14)</w:t>
      </w:r>
    </w:p>
    <w:p w:rsidR="00876707" w:rsidRPr="00876707" w:rsidRDefault="00876707">
      <w:pPr>
        <w:tabs>
          <w:tab w:val="center" w:pos="4253"/>
        </w:tabs>
        <w:suppressAutoHyphens/>
        <w:jc w:val="center"/>
        <w:rPr>
          <w:spacing w:val="-3"/>
          <w:lang w:val="es-UY"/>
        </w:rPr>
      </w:pPr>
    </w:p>
    <w:p w:rsidR="00876707" w:rsidRPr="00876707" w:rsidRDefault="00876707" w:rsidP="00876707">
      <w:pPr>
        <w:spacing w:line="360" w:lineRule="auto"/>
        <w:rPr>
          <w:lang w:val="es-UY"/>
        </w:rPr>
      </w:pPr>
    </w:p>
    <w:p w:rsidR="00876707" w:rsidRDefault="001610E0" w:rsidP="00876707">
      <w:pPr>
        <w:pStyle w:val="Textoindependiente"/>
        <w:spacing w:after="0" w:line="360" w:lineRule="auto"/>
        <w:ind w:firstLine="851"/>
      </w:pPr>
      <w:r>
        <w:rPr>
          <w:b/>
          <w:bCs/>
        </w:rPr>
        <w:t>VISTO:</w:t>
      </w:r>
      <w:r>
        <w:t xml:space="preserve"> la Rendición de Cuentas y Balance de Ejecución Presupuestal de la Intendenci</w:t>
      </w:r>
      <w:r w:rsidR="00876707">
        <w:t>a de Rivera correspondiente al E</w:t>
      </w:r>
      <w:r>
        <w:t>jercicio 2013;</w:t>
      </w:r>
    </w:p>
    <w:p w:rsidR="00876707" w:rsidRDefault="001610E0" w:rsidP="00876707">
      <w:pPr>
        <w:pStyle w:val="Textoindependiente"/>
        <w:spacing w:after="0" w:line="360" w:lineRule="auto"/>
        <w:ind w:firstLine="851"/>
      </w:pPr>
      <w:r>
        <w:rPr>
          <w:b/>
          <w:bCs/>
        </w:rPr>
        <w:t xml:space="preserve">RESULTANDO: </w:t>
      </w:r>
      <w:r>
        <w:t xml:space="preserve">que el examen se efectuó de acuerdo con los Principios Fundamentales de Auditoría </w:t>
      </w:r>
      <w:r>
        <w:rPr>
          <w:shd w:val="clear" w:color="auto" w:fill="FFFFFF"/>
        </w:rPr>
        <w:t>(ISSAI 100 y 200) y las Directrices de Auditoría Financiera (ISSAI 1000 a 1810) de la Organización Internacional de Entidades Fiscalizadoras Superiores (INTOSAI)</w:t>
      </w:r>
      <w:r>
        <w:t>, habiéndose llevado a cabo los procedimientos considerados necesarios en las circunstancias;</w:t>
      </w:r>
    </w:p>
    <w:p w:rsidR="00876707" w:rsidRDefault="001610E0" w:rsidP="00876707">
      <w:pPr>
        <w:pStyle w:val="Textoindependiente"/>
        <w:spacing w:after="0" w:line="360" w:lineRule="auto"/>
        <w:ind w:firstLine="851"/>
      </w:pPr>
      <w:r>
        <w:rPr>
          <w:b/>
          <w:bCs/>
        </w:rPr>
        <w:t xml:space="preserve">CONSIDERANDO: </w:t>
      </w:r>
      <w:r>
        <w:t>que las conclusiones y evidencias obtenidas son las que se expresan en el Informe de Auditoría, que incluye Dictamen e Informe a la Administración;</w:t>
      </w:r>
    </w:p>
    <w:p w:rsidR="001610E0" w:rsidRDefault="001610E0" w:rsidP="00876707">
      <w:pPr>
        <w:pStyle w:val="Textoindependiente"/>
        <w:spacing w:after="0" w:line="360" w:lineRule="auto"/>
        <w:ind w:firstLine="851"/>
        <w:rPr>
          <w:color w:val="FF0000"/>
        </w:rPr>
      </w:pPr>
      <w:r>
        <w:rPr>
          <w:b/>
          <w:bCs/>
        </w:rPr>
        <w:t xml:space="preserve">ATENTO: </w:t>
      </w:r>
      <w:r w:rsidR="00876707">
        <w:t>a lo dispuesto por el Artículo 211 Literal</w:t>
      </w:r>
      <w:r>
        <w:t xml:space="preserve"> C) de la Constitución de la República;</w:t>
      </w:r>
    </w:p>
    <w:p w:rsidR="001610E0" w:rsidRDefault="001610E0">
      <w:pPr>
        <w:pStyle w:val="Ttulo6"/>
      </w:pPr>
      <w:r>
        <w:t>EL TRIBUNAL ACUERDA</w:t>
      </w:r>
    </w:p>
    <w:p w:rsidR="001610E0" w:rsidRDefault="001610E0">
      <w:pPr>
        <w:numPr>
          <w:ilvl w:val="0"/>
          <w:numId w:val="1"/>
        </w:numPr>
        <w:spacing w:line="360" w:lineRule="auto"/>
        <w:jc w:val="both"/>
      </w:pPr>
      <w:r>
        <w:t>Expedirse respecto a la Rendición de Cuentas y Balance de Ejecución Presupuestal de la Intendenci</w:t>
      </w:r>
      <w:r w:rsidR="00876707">
        <w:t>a de Rivera correspondiente al E</w:t>
      </w:r>
      <w:r>
        <w:t>jercicio 2013, en los términos del Info</w:t>
      </w:r>
      <w:r w:rsidR="00876707">
        <w:t>rme de Auditoría que se adjunta;</w:t>
      </w:r>
    </w:p>
    <w:p w:rsidR="001610E0" w:rsidRDefault="001610E0">
      <w:pPr>
        <w:numPr>
          <w:ilvl w:val="0"/>
          <w:numId w:val="1"/>
        </w:numPr>
        <w:spacing w:line="360" w:lineRule="auto"/>
        <w:jc w:val="both"/>
      </w:pPr>
      <w:r>
        <w:t>Comunicar la presente Resol</w:t>
      </w:r>
      <w:r w:rsidR="00876707">
        <w:t xml:space="preserve">ución a la Junta Departamental, </w:t>
      </w:r>
      <w:r>
        <w:t>a la Intendencia de</w:t>
      </w:r>
      <w:r w:rsidR="00876707">
        <w:t xml:space="preserve"> Rivera  y al Contador Delegado;</w:t>
      </w:r>
    </w:p>
    <w:p w:rsidR="00876707" w:rsidRDefault="001610E0" w:rsidP="00876707">
      <w:pPr>
        <w:numPr>
          <w:ilvl w:val="0"/>
          <w:numId w:val="1"/>
        </w:numPr>
        <w:spacing w:line="360" w:lineRule="auto"/>
        <w:jc w:val="both"/>
      </w:pPr>
      <w:r>
        <w:t>Dar cuenta a la Asamblea General.</w:t>
      </w:r>
    </w:p>
    <w:p w:rsidR="00876707" w:rsidRDefault="00876707" w:rsidP="00876707">
      <w:pPr>
        <w:spacing w:line="360" w:lineRule="auto"/>
        <w:jc w:val="both"/>
      </w:pPr>
    </w:p>
    <w:p w:rsidR="0066025F" w:rsidRDefault="0066025F" w:rsidP="00876707">
      <w:pPr>
        <w:spacing w:line="360" w:lineRule="auto"/>
        <w:jc w:val="both"/>
      </w:pPr>
    </w:p>
    <w:p w:rsidR="0066025F" w:rsidRDefault="0066025F" w:rsidP="00876707">
      <w:pPr>
        <w:spacing w:line="360" w:lineRule="auto"/>
        <w:jc w:val="both"/>
      </w:pPr>
    </w:p>
    <w:p w:rsidR="0066025F" w:rsidRDefault="0066025F" w:rsidP="0066025F">
      <w:pPr>
        <w:pStyle w:val="TDC3"/>
      </w:pPr>
      <w:bookmarkStart w:id="1" w:name="_Toc370746233"/>
      <w:bookmarkStart w:id="2" w:name="_Toc404774770"/>
      <w:bookmarkStart w:id="3" w:name="_Toc272911408"/>
      <w:bookmarkStart w:id="4" w:name="_Toc309145152"/>
      <w:r>
        <w:lastRenderedPageBreak/>
        <w:t>DICTAMEN</w:t>
      </w:r>
      <w:bookmarkEnd w:id="1"/>
      <w:bookmarkEnd w:id="2"/>
    </w:p>
    <w:p w:rsidR="0066025F" w:rsidRDefault="0066025F" w:rsidP="0066025F"/>
    <w:p w:rsidR="0066025F" w:rsidRDefault="0066025F" w:rsidP="0066025F">
      <w:pPr>
        <w:spacing w:line="360" w:lineRule="auto"/>
        <w:jc w:val="both"/>
        <w:rPr>
          <w:lang w:val="es-MX"/>
        </w:rPr>
      </w:pPr>
      <w:r>
        <w:rPr>
          <w:lang w:val="es-MX"/>
        </w:rPr>
        <w:t xml:space="preserve">El Tribunal de Cuentas ha examinado la Rendición de Cuentas y el Balance de Ejecución Presupuestal de la Intendencia de Rivera correspondiente al Ejercicio 2013, que  incluye los siguientes estados: </w:t>
      </w:r>
      <w:r>
        <w:t>Ejecución Presupuestal con relación a los Créditos y a los Recursos, Resultado del Ejercicio, “Situación del Tesoro Municipal” (Resultado acumulado) y otros estados complementarios</w:t>
      </w:r>
      <w:r w:rsidR="004F5113">
        <w:rPr>
          <w:lang w:val="es-MX"/>
        </w:rPr>
        <w:t>.</w:t>
      </w:r>
    </w:p>
    <w:p w:rsidR="0066025F" w:rsidRDefault="0066025F" w:rsidP="0066025F">
      <w:pPr>
        <w:spacing w:line="360" w:lineRule="auto"/>
        <w:jc w:val="both"/>
        <w:rPr>
          <w:bCs/>
        </w:rPr>
      </w:pPr>
      <w:r>
        <w:rPr>
          <w:bCs/>
        </w:rPr>
        <w:t>También se presentan, en caso de corresponder, los incumplimientos legales constatados por el Tribunal de Cuentas en el c</w:t>
      </w:r>
      <w:r w:rsidR="004F5113">
        <w:rPr>
          <w:bCs/>
        </w:rPr>
        <w:t>urso de la auditoría efectuada.</w:t>
      </w:r>
    </w:p>
    <w:p w:rsidR="0066025F" w:rsidRDefault="0066025F" w:rsidP="0066025F">
      <w:pPr>
        <w:pStyle w:val="Subttulo"/>
        <w:tabs>
          <w:tab w:val="left" w:pos="2949"/>
        </w:tabs>
        <w:rPr>
          <w:rFonts w:ascii="Arial" w:hAnsi="Arial"/>
          <w:bCs/>
        </w:rPr>
      </w:pPr>
    </w:p>
    <w:p w:rsidR="0066025F" w:rsidRDefault="0066025F" w:rsidP="0066025F">
      <w:pPr>
        <w:pStyle w:val="Textoindependiente2"/>
        <w:rPr>
          <w:rFonts w:ascii="Arial" w:hAnsi="Arial" w:cs="Arial"/>
          <w:b/>
        </w:rPr>
      </w:pPr>
      <w:r>
        <w:rPr>
          <w:rFonts w:ascii="Arial" w:hAnsi="Arial" w:cs="Arial"/>
          <w:b/>
        </w:rPr>
        <w:t>Responsabilidad de la Intendencia</w:t>
      </w:r>
    </w:p>
    <w:p w:rsidR="0066025F" w:rsidRDefault="0066025F" w:rsidP="0066025F">
      <w:pPr>
        <w:spacing w:line="360" w:lineRule="auto"/>
        <w:jc w:val="both"/>
      </w:pPr>
      <w:r>
        <w:rPr>
          <w:bCs/>
        </w:rPr>
        <w:t xml:space="preserve">La Intendencia </w:t>
      </w:r>
      <w:r>
        <w:t>es responsable por la preparación y la razonable presentación de estos estados, de acuerdo con la normativa vigente y con la Resolución de este Tribunal de fecha 28 de enero de 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r w:rsidR="004F5113">
        <w:t>.</w:t>
      </w:r>
    </w:p>
    <w:p w:rsidR="0066025F" w:rsidRDefault="0066025F" w:rsidP="0066025F">
      <w:pPr>
        <w:pStyle w:val="Subttulo"/>
        <w:rPr>
          <w:rFonts w:ascii="Arial" w:hAnsi="Arial"/>
          <w:bCs/>
        </w:rPr>
      </w:pPr>
    </w:p>
    <w:p w:rsidR="0066025F" w:rsidRDefault="0066025F" w:rsidP="0066025F">
      <w:pPr>
        <w:pStyle w:val="Subttulo"/>
        <w:rPr>
          <w:rFonts w:ascii="Arial" w:hAnsi="Arial"/>
          <w:bCs/>
        </w:rPr>
      </w:pPr>
      <w:r>
        <w:rPr>
          <w:rFonts w:ascii="Arial" w:hAnsi="Arial"/>
          <w:bCs/>
        </w:rPr>
        <w:t>Responsabilidad del auditor</w:t>
      </w:r>
    </w:p>
    <w:p w:rsidR="0066025F" w:rsidRDefault="0066025F" w:rsidP="0066025F">
      <w:pPr>
        <w:pStyle w:val="Subttulo"/>
        <w:rPr>
          <w:rFonts w:ascii="Arial" w:hAnsi="Arial"/>
          <w:b w:val="0"/>
        </w:rPr>
      </w:pPr>
      <w:r>
        <w:rPr>
          <w:rFonts w:ascii="Arial" w:hAnsi="Arial" w:cs="Arial"/>
          <w:b w:val="0"/>
        </w:rPr>
        <w:t>La responsabilidad del Tribunal de Cuentas es expresar una opinión sobre dichos estados contables basada en la auditoría realizada</w:t>
      </w:r>
      <w:r>
        <w:rPr>
          <w:rFonts w:ascii="Arial" w:hAnsi="Arial" w:cs="Arial"/>
          <w:b w:val="0"/>
          <w:shd w:val="clear" w:color="auto" w:fill="FFFFFF"/>
        </w:rPr>
        <w:t xml:space="preserve">. </w:t>
      </w:r>
      <w:r>
        <w:rPr>
          <w:rFonts w:ascii="Arial" w:hAnsi="Arial"/>
          <w:b w:val="0"/>
          <w:shd w:val="clear" w:color="auto" w:fill="FFFFFF"/>
        </w:rPr>
        <w:t>Esta auditoría fue practicada de acuerdo con los Principios Fundamentales de Auditoría (ISSAI 100 y 200) y las Directrices de Auditoría Financiera (ISSAI 1000 a 1810) de la Organización Internacional de Entidades Fiscalizadoras Superiores (INTOSAI).</w:t>
      </w:r>
      <w:r>
        <w:rPr>
          <w:rFonts w:ascii="Arial" w:hAnsi="Arial"/>
          <w:b w:val="0"/>
        </w:rPr>
        <w:t xml:space="preserve"> Estas normas requieren que se cumpla con requisitos éticos, se planifique y se realice la auditoría para obtener seguridad razonable acerca de si los estados contables están li</w:t>
      </w:r>
      <w:r w:rsidR="004F5113">
        <w:rPr>
          <w:rFonts w:ascii="Arial" w:hAnsi="Arial"/>
          <w:b w:val="0"/>
        </w:rPr>
        <w:t>bres de errores significativos.</w:t>
      </w:r>
    </w:p>
    <w:p w:rsidR="0066025F" w:rsidRDefault="0066025F" w:rsidP="0066025F">
      <w:pPr>
        <w:pStyle w:val="Subttulo"/>
        <w:rPr>
          <w:rFonts w:ascii="Arial" w:hAnsi="Arial" w:cs="Arial"/>
          <w:b w:val="0"/>
        </w:rPr>
      </w:pPr>
      <w:r>
        <w:rPr>
          <w:rFonts w:ascii="Arial" w:hAnsi="Arial"/>
          <w:b w:val="0"/>
        </w:rPr>
        <w:t>Una auditoría implica realizar procedimientos para obtener evidencia acerca de los montos y revelaciones contables.</w:t>
      </w:r>
      <w:r>
        <w:rPr>
          <w:rFonts w:ascii="Arial" w:hAnsi="Arial" w:cs="Arial"/>
          <w:b w:val="0"/>
        </w:rPr>
        <w:t xml:space="preserve">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66025F" w:rsidRDefault="0066025F" w:rsidP="0066025F">
      <w:pPr>
        <w:spacing w:line="360" w:lineRule="auto"/>
      </w:pPr>
      <w:r>
        <w:t>Se considera que la evidencia de auditoría obtenida brinda una base suficiente y apropiada para sustentar la opinión.</w:t>
      </w:r>
    </w:p>
    <w:p w:rsidR="0066025F" w:rsidRDefault="0066025F" w:rsidP="0066025F">
      <w:pPr>
        <w:spacing w:line="360" w:lineRule="auto"/>
        <w:rPr>
          <w:b/>
        </w:rPr>
      </w:pPr>
    </w:p>
    <w:p w:rsidR="0066025F" w:rsidRDefault="0066025F" w:rsidP="0066025F">
      <w:pPr>
        <w:spacing w:line="360" w:lineRule="auto"/>
        <w:jc w:val="both"/>
        <w:rPr>
          <w:b/>
          <w:bCs/>
          <w:lang w:val="es-MX"/>
        </w:rPr>
      </w:pPr>
      <w:r>
        <w:rPr>
          <w:b/>
          <w:bCs/>
        </w:rPr>
        <w:t>Bases para la opinión adversa sobre el Estado “Situación del Tesoro M</w:t>
      </w:r>
      <w:r w:rsidR="00CA7543">
        <w:rPr>
          <w:b/>
          <w:bCs/>
        </w:rPr>
        <w:t>unicipal” (Resultado acumulado)</w:t>
      </w:r>
    </w:p>
    <w:p w:rsidR="0066025F" w:rsidRDefault="0066025F" w:rsidP="0066025F">
      <w:pPr>
        <w:spacing w:line="360" w:lineRule="auto"/>
        <w:jc w:val="both"/>
      </w:pPr>
      <w:r>
        <w:rPr>
          <w:lang w:val="es-MX"/>
        </w:rPr>
        <w:t>La Intendencia n</w:t>
      </w:r>
      <w:r>
        <w:t>o contabilizó la deuda correspondiente al convenio suscrito con UTE el 23/12/2013 para cancelar obligaciones anteriores a diciembre de 2010. Esta omisión de $ 93:274.032, representa una subvaluación del pasivo con dicho Ente y del déficit acumulado expuesto en el Estado “Situación del Tesoro Municipal” (Resultado acumulado) al 31/12/2013.</w:t>
      </w:r>
    </w:p>
    <w:p w:rsidR="0066025F" w:rsidRDefault="0066025F" w:rsidP="0066025F">
      <w:pPr>
        <w:spacing w:line="360" w:lineRule="auto"/>
        <w:jc w:val="both"/>
        <w:rPr>
          <w:b/>
          <w:bCs/>
        </w:rPr>
      </w:pPr>
    </w:p>
    <w:p w:rsidR="0066025F" w:rsidRDefault="0066025F" w:rsidP="0066025F">
      <w:pPr>
        <w:spacing w:line="360" w:lineRule="auto"/>
        <w:jc w:val="both"/>
        <w:rPr>
          <w:b/>
          <w:bCs/>
        </w:rPr>
      </w:pPr>
      <w:r>
        <w:rPr>
          <w:b/>
          <w:bCs/>
        </w:rPr>
        <w:t>Opinión</w:t>
      </w:r>
    </w:p>
    <w:p w:rsidR="0066025F" w:rsidRDefault="0066025F" w:rsidP="0066025F">
      <w:pPr>
        <w:spacing w:line="360" w:lineRule="auto"/>
        <w:jc w:val="both"/>
        <w:rPr>
          <w:color w:val="FF0000"/>
        </w:rPr>
      </w:pPr>
      <w:r>
        <w:t>En opinión del Tribunal de Cuentas los estados Ejecución Presupuestal con relación a los Créditos y a los Recursos y Resultado del Ejercicio presentan razonablemente, en todos sus aspectos importantes, la ejecución presupuestal del Ejercicio 2013</w:t>
      </w:r>
      <w:r>
        <w:rPr>
          <w:color w:val="FF0000"/>
        </w:rPr>
        <w:t xml:space="preserve"> </w:t>
      </w:r>
      <w:r>
        <w:t>con relación a los recursos y a los créditos y</w:t>
      </w:r>
      <w:r>
        <w:rPr>
          <w:color w:val="FF0000"/>
        </w:rPr>
        <w:t xml:space="preserve"> </w:t>
      </w:r>
      <w:r>
        <w:t>el resultado del Ejercicio 2013, de acuerdo con las normas establecidas en el TOCAF y a la Resolución de este Tribunal de fecha 28/01/04.</w:t>
      </w:r>
    </w:p>
    <w:p w:rsidR="0066025F" w:rsidRDefault="0066025F" w:rsidP="0066025F">
      <w:pPr>
        <w:spacing w:line="360" w:lineRule="auto"/>
        <w:jc w:val="both"/>
      </w:pPr>
      <w:r>
        <w:t>En opinión del Tribunal de Cuentas, debido a los efectos de lo descripto en el párrafo Bases para la calificación de la opinión, el Estado “Situación del Tesoro Municipal” al 31/12/13 no presenta razonablemente el resultado acumulado al 31/12/2013, de acuerdo con las normas establecidas en el TOCAF y a la Resolución de este Tribunal de fecha 28/01/04.</w:t>
      </w:r>
    </w:p>
    <w:p w:rsidR="0066025F" w:rsidRDefault="0066025F" w:rsidP="0066025F">
      <w:pPr>
        <w:spacing w:line="360" w:lineRule="auto"/>
        <w:jc w:val="both"/>
        <w:rPr>
          <w:color w:val="FF0000"/>
        </w:rPr>
      </w:pPr>
    </w:p>
    <w:bookmarkEnd w:id="3"/>
    <w:bookmarkEnd w:id="4"/>
    <w:p w:rsidR="0066025F" w:rsidRDefault="0066025F" w:rsidP="0066025F">
      <w:pPr>
        <w:spacing w:line="360" w:lineRule="auto"/>
        <w:jc w:val="both"/>
      </w:pPr>
      <w:r>
        <w:t>Con relación al cumplimiento de la normativa vigente, en el curso de la auditoría se ha constatado que:</w:t>
      </w:r>
    </w:p>
    <w:p w:rsidR="0066025F" w:rsidRDefault="0066025F" w:rsidP="0066025F">
      <w:pPr>
        <w:widowControl w:val="0"/>
        <w:spacing w:line="360" w:lineRule="auto"/>
        <w:jc w:val="both"/>
        <w:rPr>
          <w:b/>
          <w:bCs/>
        </w:rPr>
      </w:pPr>
      <w:r>
        <w:rPr>
          <w:b/>
          <w:lang w:val="es-UY"/>
        </w:rPr>
        <w:t>1.</w:t>
      </w:r>
      <w:r>
        <w:rPr>
          <w:b/>
          <w:bCs/>
        </w:rPr>
        <w:t xml:space="preserve"> Artículo 211 Literal B) de la Constitución de la República, Artículos 23 y 87 del TOCAF. </w:t>
      </w:r>
    </w:p>
    <w:p w:rsidR="0066025F" w:rsidRDefault="0066025F" w:rsidP="0066025F">
      <w:pPr>
        <w:widowControl w:val="0"/>
        <w:spacing w:line="360" w:lineRule="auto"/>
        <w:ind w:right="-1"/>
        <w:jc w:val="both"/>
      </w:pPr>
      <w:r>
        <w:t>En algunos casos no se dio cumplimiento a estas normas, ya que se ejecutaron y pagaron gastos sin haber sido intervenidos preventivamente, por el Tribunal de Cuentas o el</w:t>
      </w:r>
      <w:r w:rsidR="00CA7543">
        <w:t xml:space="preserve"> Contador Delegado, en su caso.</w:t>
      </w:r>
    </w:p>
    <w:p w:rsidR="0066025F" w:rsidRDefault="0066025F" w:rsidP="0066025F">
      <w:pPr>
        <w:spacing w:line="360" w:lineRule="auto"/>
        <w:rPr>
          <w:b/>
        </w:rPr>
      </w:pPr>
      <w:r>
        <w:rPr>
          <w:b/>
        </w:rPr>
        <w:t>2.  Artículo 14 del TOCAF</w:t>
      </w:r>
    </w:p>
    <w:p w:rsidR="0066025F" w:rsidRDefault="0066025F" w:rsidP="0066025F">
      <w:pPr>
        <w:widowControl w:val="0"/>
        <w:spacing w:line="360" w:lineRule="auto"/>
        <w:jc w:val="both"/>
      </w:pPr>
      <w:r>
        <w:t>En algunas oportunidades no se cumplió con la mencionada norma debido a que se efectuaron pagos a proveedores sin contar con la o</w:t>
      </w:r>
      <w:r w:rsidR="003B1B1C">
        <w:t>rden de compra correspondiente.</w:t>
      </w:r>
    </w:p>
    <w:p w:rsidR="0066025F" w:rsidRDefault="0066025F" w:rsidP="0066025F">
      <w:pPr>
        <w:spacing w:line="360" w:lineRule="auto"/>
        <w:rPr>
          <w:b/>
        </w:rPr>
      </w:pPr>
      <w:bookmarkStart w:id="5" w:name="_Toc382476526"/>
      <w:r>
        <w:rPr>
          <w:b/>
        </w:rPr>
        <w:t>3.  Artículo 15 del TOCAF</w:t>
      </w:r>
      <w:bookmarkEnd w:id="5"/>
    </w:p>
    <w:p w:rsidR="0066025F" w:rsidRDefault="0066025F" w:rsidP="0066025F">
      <w:pPr>
        <w:widowControl w:val="0"/>
        <w:spacing w:line="360" w:lineRule="auto"/>
        <w:jc w:val="both"/>
      </w:pPr>
      <w:r>
        <w:t>Se realizaron gastos sin contar con la disponibilidad suficiente.</w:t>
      </w:r>
    </w:p>
    <w:p w:rsidR="0066025F" w:rsidRDefault="0066025F" w:rsidP="0066025F">
      <w:pPr>
        <w:spacing w:line="360" w:lineRule="auto"/>
        <w:rPr>
          <w:b/>
        </w:rPr>
      </w:pPr>
      <w:bookmarkStart w:id="6" w:name="_Toc382476527"/>
      <w:r>
        <w:rPr>
          <w:b/>
        </w:rPr>
        <w:t>4. Artículos 33 y 43 del TOCAF</w:t>
      </w:r>
      <w:bookmarkEnd w:id="6"/>
    </w:p>
    <w:p w:rsidR="0066025F" w:rsidRDefault="0066025F" w:rsidP="0066025F">
      <w:pPr>
        <w:widowControl w:val="0"/>
        <w:spacing w:line="360" w:lineRule="auto"/>
        <w:jc w:val="both"/>
      </w:pPr>
      <w:r>
        <w:t>Se han constatado casos en que no se dio cumplimiento con estas normas al efectuarse adquisiciones en forma fraccionada, sin dejar</w:t>
      </w:r>
      <w:r w:rsidR="00CA7543">
        <w:t xml:space="preserve"> constancia de sus fundamentos.</w:t>
      </w:r>
    </w:p>
    <w:p w:rsidR="0066025F" w:rsidRDefault="0066025F" w:rsidP="0066025F">
      <w:pPr>
        <w:spacing w:line="360" w:lineRule="auto"/>
        <w:rPr>
          <w:b/>
        </w:rPr>
      </w:pPr>
      <w:bookmarkStart w:id="7" w:name="_Toc382476528"/>
      <w:r>
        <w:rPr>
          <w:b/>
        </w:rPr>
        <w:t>5. Artículo 64 del TOCAF</w:t>
      </w:r>
      <w:bookmarkEnd w:id="7"/>
    </w:p>
    <w:p w:rsidR="0066025F" w:rsidRDefault="0066025F" w:rsidP="0066025F">
      <w:pPr>
        <w:pStyle w:val="Sangradetextonormal"/>
        <w:ind w:firstLine="0"/>
        <w:rPr>
          <w:rFonts w:ascii="Arial" w:eastAsia="Times New Roman" w:hAnsi="Arial" w:cs="Arial"/>
          <w:szCs w:val="20"/>
          <w:lang w:val="es-ES"/>
        </w:rPr>
      </w:pPr>
      <w:r>
        <w:rPr>
          <w:rFonts w:ascii="Arial" w:eastAsia="Times New Roman" w:hAnsi="Arial" w:cs="Arial"/>
          <w:szCs w:val="20"/>
          <w:lang w:val="es-ES"/>
        </w:rPr>
        <w:t>Se incumplió con la referida norma ya que, cuando no correspondía retener las garantías, la Intendencia no procedió a devolverlas en el menor plazo posible.</w:t>
      </w:r>
    </w:p>
    <w:p w:rsidR="0066025F" w:rsidRDefault="0066025F" w:rsidP="0066025F">
      <w:pPr>
        <w:spacing w:line="360" w:lineRule="auto"/>
        <w:rPr>
          <w:b/>
        </w:rPr>
      </w:pPr>
      <w:bookmarkStart w:id="8" w:name="_Toc382476529"/>
      <w:r>
        <w:rPr>
          <w:b/>
        </w:rPr>
        <w:t>6. Artículo 102 del TOCAF</w:t>
      </w:r>
      <w:bookmarkEnd w:id="8"/>
    </w:p>
    <w:p w:rsidR="0066025F" w:rsidRDefault="0066025F" w:rsidP="0066025F">
      <w:pPr>
        <w:pStyle w:val="Textoindependiente"/>
        <w:spacing w:after="0" w:line="360" w:lineRule="auto"/>
        <w:rPr>
          <w:kern w:val="0"/>
          <w:lang w:val="es-ES"/>
        </w:rPr>
      </w:pPr>
      <w:r>
        <w:rPr>
          <w:kern w:val="0"/>
          <w:lang w:val="es-ES"/>
        </w:rPr>
        <w:t>En algunos casos se incumplió con esta norma ya que no se realizó previamente a la licitación el informe de disponibilidades que establece</w:t>
      </w:r>
      <w:r w:rsidR="003B1B1C">
        <w:rPr>
          <w:kern w:val="0"/>
          <w:lang w:val="es-ES"/>
        </w:rPr>
        <w:t xml:space="preserve"> el Numeral 3 de este Artículo.</w:t>
      </w:r>
    </w:p>
    <w:p w:rsidR="0066025F" w:rsidRDefault="0066025F" w:rsidP="0066025F">
      <w:pPr>
        <w:spacing w:line="360" w:lineRule="auto"/>
        <w:rPr>
          <w:b/>
        </w:rPr>
      </w:pPr>
      <w:r>
        <w:rPr>
          <w:b/>
        </w:rPr>
        <w:t>7. Artículos 90 y 154 del TOCAF</w:t>
      </w:r>
    </w:p>
    <w:p w:rsidR="0066025F" w:rsidRDefault="0066025F" w:rsidP="0066025F">
      <w:pPr>
        <w:pStyle w:val="Textoindependiente"/>
        <w:widowControl w:val="0"/>
        <w:numPr>
          <w:ilvl w:val="0"/>
          <w:numId w:val="2"/>
        </w:numPr>
        <w:suppressAutoHyphens/>
        <w:spacing w:after="0" w:line="360" w:lineRule="auto"/>
      </w:pPr>
      <w:r>
        <w:t xml:space="preserve"> La Intendencia no mantiene seguros de caución de fidelidad vigentes para  todos los funcionarios que manejan o custodian fondos o valores.</w:t>
      </w:r>
    </w:p>
    <w:p w:rsidR="0066025F" w:rsidRDefault="0066025F" w:rsidP="0066025F">
      <w:pPr>
        <w:spacing w:line="360" w:lineRule="auto"/>
        <w:rPr>
          <w:b/>
        </w:rPr>
      </w:pPr>
      <w:bookmarkStart w:id="9" w:name="_Toc382476530"/>
      <w:r>
        <w:rPr>
          <w:b/>
        </w:rPr>
        <w:t>8. Artículo 94 del TOCAF y Ordenanza N° 81 del Tribunal de Cuentas</w:t>
      </w:r>
      <w:bookmarkEnd w:id="9"/>
    </w:p>
    <w:p w:rsidR="0066025F" w:rsidRDefault="0066025F" w:rsidP="0066025F">
      <w:pPr>
        <w:pStyle w:val="Textoindependiente"/>
        <w:widowControl w:val="0"/>
        <w:numPr>
          <w:ilvl w:val="0"/>
          <w:numId w:val="2"/>
        </w:numPr>
        <w:suppressAutoHyphens/>
        <w:spacing w:after="0" w:line="360" w:lineRule="auto"/>
      </w:pPr>
      <w:r>
        <w:t xml:space="preserve"> La Intendencia no ha implementado un sistema contable que permita cumplir con lo establecido por dichas normas.</w:t>
      </w:r>
    </w:p>
    <w:p w:rsidR="0066025F" w:rsidRDefault="0066025F" w:rsidP="0066025F">
      <w:pPr>
        <w:pStyle w:val="Textoindependiente"/>
        <w:widowControl w:val="0"/>
        <w:numPr>
          <w:ilvl w:val="0"/>
          <w:numId w:val="2"/>
        </w:numPr>
        <w:suppressAutoHyphens/>
        <w:spacing w:after="0" w:line="360" w:lineRule="auto"/>
      </w:pPr>
      <w:r>
        <w:rPr>
          <w:b/>
        </w:rPr>
        <w:t>9. Resolución de este Tribunal de 11 de mayo de 2005</w:t>
      </w:r>
    </w:p>
    <w:p w:rsidR="0066025F" w:rsidRDefault="0066025F" w:rsidP="0066025F">
      <w:pPr>
        <w:pStyle w:val="Textoindependiente"/>
        <w:widowControl w:val="0"/>
        <w:numPr>
          <w:ilvl w:val="0"/>
          <w:numId w:val="2"/>
        </w:numPr>
        <w:spacing w:after="0" w:line="360" w:lineRule="auto"/>
      </w:pPr>
      <w:r>
        <w:t>La Intendencia no cumplió en su totalidad con esta Resolución ya que, si bien informó sobre las concesiones otorgadas, no comunicó a este Tribunal los Informes semestrales de seguimiento.</w:t>
      </w:r>
    </w:p>
    <w:p w:rsidR="0066025F" w:rsidRDefault="0066025F" w:rsidP="0066025F">
      <w:pPr>
        <w:spacing w:line="360" w:lineRule="auto"/>
      </w:pPr>
      <w:bookmarkStart w:id="10" w:name="_Toc382476531"/>
      <w:r>
        <w:rPr>
          <w:b/>
        </w:rPr>
        <w:t xml:space="preserve">10. </w:t>
      </w:r>
      <w:bookmarkEnd w:id="10"/>
      <w:r>
        <w:rPr>
          <w:b/>
        </w:rPr>
        <w:t>Convenio Nº 30 de la OIT</w:t>
      </w:r>
    </w:p>
    <w:p w:rsidR="0066025F" w:rsidRDefault="0066025F" w:rsidP="0066025F">
      <w:pPr>
        <w:spacing w:line="360" w:lineRule="auto"/>
        <w:rPr>
          <w:kern w:val="18"/>
          <w:lang w:val="es-ES_tradnl"/>
        </w:rPr>
      </w:pPr>
      <w:r>
        <w:rPr>
          <w:kern w:val="18"/>
          <w:lang w:val="es-ES_tradnl"/>
        </w:rPr>
        <w:t>Las liquidaciones de horas extras realizadas en el Ejercicio  2013,  en algunos casos, superaron los topes establecidos en dicho Convenio.</w:t>
      </w:r>
    </w:p>
    <w:p w:rsidR="0066025F" w:rsidRDefault="0066025F" w:rsidP="0066025F">
      <w:pPr>
        <w:spacing w:line="360" w:lineRule="auto"/>
        <w:jc w:val="both"/>
        <w:rPr>
          <w:b/>
        </w:rPr>
      </w:pPr>
      <w:r>
        <w:rPr>
          <w:b/>
        </w:rPr>
        <w:t xml:space="preserve">11. Artículo 86 de la Constitución de la República y Artículo 12 del Presupuesto </w:t>
      </w:r>
      <w:r w:rsidR="00C558A8">
        <w:rPr>
          <w:b/>
        </w:rPr>
        <w:t>2011-2015 – Incremento salarial</w:t>
      </w:r>
    </w:p>
    <w:p w:rsidR="0066025F" w:rsidRDefault="0066025F" w:rsidP="0066025F">
      <w:pPr>
        <w:spacing w:line="360" w:lineRule="auto"/>
        <w:jc w:val="both"/>
      </w:pPr>
      <w:r>
        <w:t>La Intendencia incumplió estas normas debido a que, en el ajuste salarial de enero 2013, se estableció un aumento adicional al fijado en el Presupuesto 2011-2015 por concepto de mejora de eficiencia en la gestión.</w:t>
      </w:r>
    </w:p>
    <w:p w:rsidR="0066025F" w:rsidRDefault="0066025F" w:rsidP="0066025F">
      <w:pPr>
        <w:spacing w:line="360" w:lineRule="auto"/>
        <w:jc w:val="both"/>
        <w:rPr>
          <w:lang w:eastAsia="zh-CN"/>
        </w:rPr>
      </w:pPr>
      <w:r>
        <w:rPr>
          <w:b/>
        </w:rPr>
        <w:t>12. Resolución del Tribunal de Cuentas de fecha 28/01/04</w:t>
      </w:r>
    </w:p>
    <w:p w:rsidR="0066025F" w:rsidRDefault="0066025F" w:rsidP="0066025F">
      <w:pPr>
        <w:spacing w:line="360" w:lineRule="auto"/>
        <w:jc w:val="both"/>
        <w:rPr>
          <w:b/>
        </w:rPr>
      </w:pPr>
      <w:r>
        <w:rPr>
          <w:bCs/>
        </w:rPr>
        <w:t>El documento de la Rendición de Cuentas presentado no se ajustó en su totalidad a lo dispuesto por dicha Resolución.</w:t>
      </w:r>
    </w:p>
    <w:p w:rsidR="0066025F" w:rsidRDefault="0066025F" w:rsidP="0066025F">
      <w:pPr>
        <w:spacing w:line="360" w:lineRule="auto"/>
        <w:jc w:val="both"/>
        <w:rPr>
          <w:b/>
        </w:rPr>
      </w:pPr>
    </w:p>
    <w:p w:rsidR="0066025F" w:rsidRDefault="0066025F" w:rsidP="0066025F">
      <w:pPr>
        <w:spacing w:line="360" w:lineRule="auto"/>
        <w:jc w:val="both"/>
        <w:rPr>
          <w:snapToGrid w:val="0"/>
        </w:rPr>
      </w:pPr>
      <w:r>
        <w:rPr>
          <w:snapToGrid w:val="0"/>
        </w:rPr>
        <w:t>Asimismo, durante el Ejercicio, el Contador Delegado observó gastos por incumplimiento del Artículo 86 de la Constitución de la República, Artículo 15 del TOCAF, Artículo 71 de la Ley 18.083 y Decreto 342/1992, los que fueron reiterados por el Ordenador y puestos en conocimiento de la Junta Departamental oportunamente.</w:t>
      </w:r>
    </w:p>
    <w:p w:rsidR="0066025F" w:rsidRDefault="0066025F" w:rsidP="0066025F">
      <w:pPr>
        <w:pStyle w:val="Ttulo-base"/>
        <w:keepNext w:val="0"/>
        <w:keepLines w:val="0"/>
        <w:spacing w:line="360" w:lineRule="auto"/>
        <w:jc w:val="right"/>
        <w:rPr>
          <w:kern w:val="18"/>
          <w:lang w:val="es-ES"/>
        </w:rPr>
      </w:pPr>
      <w:r>
        <w:rPr>
          <w:kern w:val="18"/>
          <w:lang w:val="es-ES"/>
        </w:rPr>
        <w:t>Montevideo, 7 de noviembre de 2014</w:t>
      </w:r>
    </w:p>
    <w:p w:rsidR="0066025F" w:rsidRDefault="0066025F" w:rsidP="0066025F">
      <w:pPr>
        <w:pStyle w:val="Nombredireccin"/>
        <w:spacing w:before="0" w:line="360" w:lineRule="auto"/>
        <w:rPr>
          <w:color w:val="FF0000"/>
        </w:rPr>
      </w:pPr>
    </w:p>
    <w:p w:rsidR="0066025F" w:rsidRDefault="0066025F"/>
    <w:p w:rsidR="0066025F" w:rsidRDefault="0066025F"/>
    <w:p w:rsidR="0066025F" w:rsidRDefault="0066025F"/>
    <w:p w:rsidR="0066025F" w:rsidRDefault="0066025F"/>
    <w:p w:rsidR="0066025F" w:rsidRDefault="0066025F">
      <w:pPr>
        <w:pStyle w:val="Ttulo1"/>
        <w:jc w:val="center"/>
      </w:pPr>
      <w:bookmarkStart w:id="11" w:name="_Toc309145154"/>
      <w:bookmarkStart w:id="12" w:name="_Toc404774772"/>
      <w:r>
        <w:t>INFORME A LA ADMINISTRACIÓN</w:t>
      </w:r>
      <w:bookmarkEnd w:id="11"/>
      <w:bookmarkEnd w:id="12"/>
    </w:p>
    <w:p w:rsidR="0066025F" w:rsidRDefault="0066025F">
      <w:pPr>
        <w:spacing w:line="360" w:lineRule="auto"/>
        <w:jc w:val="both"/>
      </w:pPr>
      <w:r>
        <w:t>El Tribunal de Cuentas ha examinado la Rendición de Cuentas y Balance de Ejecución Presupuestal correspondiente al Ejercicio 2013 y ha emitido su correspondiente Dictamen.</w:t>
      </w:r>
    </w:p>
    <w:p w:rsidR="0066025F" w:rsidRDefault="0066025F">
      <w:pPr>
        <w:spacing w:line="360" w:lineRule="auto"/>
        <w:jc w:val="both"/>
      </w:pPr>
      <w: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66025F" w:rsidRDefault="0066025F">
      <w:pPr>
        <w:spacing w:line="360" w:lineRule="auto"/>
        <w:jc w:val="both"/>
      </w:pPr>
    </w:p>
    <w:p w:rsidR="0066025F" w:rsidRDefault="0066025F">
      <w:pPr>
        <w:pStyle w:val="Ttulo2"/>
      </w:pPr>
      <w:bookmarkStart w:id="13" w:name="_Toc404774773"/>
      <w:r>
        <w:t>1 CONSTATACIONES QUE AFECTAN LA OPINIÓN</w:t>
      </w:r>
      <w:bookmarkEnd w:id="13"/>
    </w:p>
    <w:p w:rsidR="0066025F" w:rsidRDefault="0066025F">
      <w:pPr>
        <w:pStyle w:val="Ttulo3"/>
      </w:pPr>
      <w:bookmarkStart w:id="14" w:name="_Toc404774774"/>
      <w:bookmarkStart w:id="15" w:name="_Toc309145160"/>
      <w:bookmarkStart w:id="16" w:name="_Toc309145155"/>
      <w:bookmarkStart w:id="17" w:name="_Toc86129202"/>
      <w:bookmarkStart w:id="18" w:name="_Toc51488268"/>
      <w:r>
        <w:t>1.</w:t>
      </w:r>
      <w:bookmarkStart w:id="19" w:name="_Toc276565973"/>
      <w:bookmarkStart w:id="20" w:name="_Toc276566982"/>
      <w:bookmarkStart w:id="21" w:name="_Toc276569081"/>
      <w:bookmarkStart w:id="22" w:name="_Toc276659811"/>
      <w:bookmarkStart w:id="23" w:name="_Toc280691304"/>
      <w:r>
        <w:t xml:space="preserve">1 </w:t>
      </w:r>
      <w:bookmarkEnd w:id="19"/>
      <w:bookmarkEnd w:id="20"/>
      <w:bookmarkEnd w:id="21"/>
      <w:bookmarkEnd w:id="22"/>
      <w:bookmarkEnd w:id="23"/>
      <w:r>
        <w:t>Resultado acumulado</w:t>
      </w:r>
      <w:bookmarkEnd w:id="14"/>
    </w:p>
    <w:p w:rsidR="0066025F" w:rsidRDefault="0066025F">
      <w:pPr>
        <w:pStyle w:val="Textoindependiente"/>
        <w:spacing w:after="0" w:line="360" w:lineRule="auto"/>
        <w:rPr>
          <w:kern w:val="0"/>
          <w:lang w:val="es-ES"/>
        </w:rPr>
      </w:pPr>
      <w:r>
        <w:rPr>
          <w:kern w:val="0"/>
          <w:lang w:val="es-ES"/>
        </w:rPr>
        <w:t>No se ha incluido el saldo a pagar correspondiente al convenio suscrito con UTE el 23/12/2013 por adeudos anteriores a diciembre de 2010. A continuación se presenta un detalle de la determinación de la diferencia:</w:t>
      </w:r>
    </w:p>
    <w:p w:rsidR="0066025F" w:rsidRDefault="0066025F">
      <w:pPr>
        <w:spacing w:line="360" w:lineRule="auto"/>
      </w:pPr>
      <w:r>
        <w:t>Saldo a pagar según convenio</w:t>
      </w:r>
      <w:r>
        <w:tab/>
      </w:r>
      <w:r>
        <w:tab/>
        <w:t>$ 111:345.716</w:t>
      </w:r>
    </w:p>
    <w:p w:rsidR="0066025F" w:rsidRDefault="0066025F">
      <w:pPr>
        <w:spacing w:line="360" w:lineRule="auto"/>
      </w:pPr>
      <w:r>
        <w:t xml:space="preserve">Deuda contabilizada anterior al 2010: </w:t>
      </w:r>
      <w:r>
        <w:tab/>
      </w:r>
      <w:r>
        <w:rPr>
          <w:u w:val="single"/>
        </w:rPr>
        <w:t>$   18:071.685</w:t>
      </w:r>
    </w:p>
    <w:p w:rsidR="0066025F" w:rsidRDefault="0066025F">
      <w:pPr>
        <w:spacing w:line="360" w:lineRule="auto"/>
      </w:pPr>
      <w:r>
        <w:t xml:space="preserve">Diferencia no contabilizada: </w:t>
      </w:r>
      <w:r>
        <w:tab/>
      </w:r>
      <w:r>
        <w:tab/>
        <w:t>$   93:274.032</w:t>
      </w:r>
    </w:p>
    <w:p w:rsidR="0066025F" w:rsidRDefault="0066025F" w:rsidP="00CA7543">
      <w:pPr>
        <w:spacing w:line="360" w:lineRule="auto"/>
      </w:pPr>
      <w:r>
        <w:t xml:space="preserve"> Esta diferencia representa un 39% del resultado acumulado al 31/12/2013 y un 10% del total general de ingresos del Ejercicio.</w:t>
      </w:r>
    </w:p>
    <w:p w:rsidR="0066025F" w:rsidRDefault="0066025F">
      <w:pPr>
        <w:pStyle w:val="Textoindependiente"/>
        <w:spacing w:after="0" w:line="360" w:lineRule="auto"/>
        <w:rPr>
          <w:kern w:val="0"/>
          <w:lang w:val="es-ES"/>
        </w:rPr>
      </w:pPr>
      <w:r>
        <w:rPr>
          <w:kern w:val="0"/>
          <w:lang w:val="es-ES"/>
        </w:rPr>
        <w:t>En consecuencia, el resultado acumulado al 31/12/2013 debió ascender a $331:775.771, según el siguiente detalle:</w:t>
      </w:r>
    </w:p>
    <w:p w:rsidR="0066025F" w:rsidRDefault="0066025F">
      <w:pPr>
        <w:spacing w:line="360" w:lineRule="auto"/>
      </w:pPr>
      <w:r>
        <w:t xml:space="preserve">Saldo expuesto al 31/12/2013: </w:t>
      </w:r>
      <w:r>
        <w:tab/>
      </w:r>
      <w:r>
        <w:tab/>
        <w:t>$ 238:501.739</w:t>
      </w:r>
    </w:p>
    <w:p w:rsidR="0066025F" w:rsidRDefault="0066025F">
      <w:pPr>
        <w:spacing w:line="360" w:lineRule="auto"/>
      </w:pPr>
      <w:r>
        <w:t>Ajuste:</w:t>
      </w:r>
      <w:r>
        <w:tab/>
      </w:r>
      <w:r>
        <w:tab/>
      </w:r>
      <w:r>
        <w:tab/>
      </w:r>
      <w:r>
        <w:tab/>
      </w:r>
      <w:r>
        <w:tab/>
      </w:r>
      <w:r>
        <w:rPr>
          <w:u w:val="single"/>
        </w:rPr>
        <w:t>$   93:274.032</w:t>
      </w:r>
    </w:p>
    <w:p w:rsidR="0066025F" w:rsidRDefault="0066025F">
      <w:pPr>
        <w:spacing w:line="360" w:lineRule="auto"/>
      </w:pPr>
      <w:r>
        <w:t>Saldo acumulado al 31/12/2013:</w:t>
      </w:r>
      <w:r>
        <w:tab/>
      </w:r>
      <w:r>
        <w:tab/>
        <w:t>$ 331:775.771</w:t>
      </w:r>
    </w:p>
    <w:p w:rsidR="00C558A8" w:rsidRDefault="00C558A8">
      <w:pPr>
        <w:spacing w:line="360" w:lineRule="auto"/>
      </w:pPr>
    </w:p>
    <w:p w:rsidR="0066025F" w:rsidRDefault="0066025F">
      <w:pPr>
        <w:pStyle w:val="Ttulo2"/>
      </w:pPr>
      <w:bookmarkStart w:id="24" w:name="_Toc404774775"/>
      <w:bookmarkEnd w:id="15"/>
      <w:r>
        <w:t>2 Constataciones que no afectan la opinión respecto a los Estados</w:t>
      </w:r>
      <w:bookmarkEnd w:id="16"/>
      <w:bookmarkEnd w:id="24"/>
    </w:p>
    <w:p w:rsidR="00CA7543" w:rsidRPr="00CA7543" w:rsidRDefault="00CA7543" w:rsidP="00CA7543">
      <w:pPr>
        <w:pStyle w:val="Textoindependiente"/>
        <w:rPr>
          <w:lang w:val="es-ES"/>
        </w:rPr>
      </w:pPr>
    </w:p>
    <w:p w:rsidR="0066025F" w:rsidRDefault="0066025F">
      <w:pPr>
        <w:pStyle w:val="Ttulo3"/>
      </w:pPr>
      <w:bookmarkStart w:id="25" w:name="_Toc339544084"/>
      <w:bookmarkStart w:id="26" w:name="_Toc404774776"/>
      <w:bookmarkStart w:id="27" w:name="_Toc280691300"/>
      <w:bookmarkStart w:id="28" w:name="_Toc312102637"/>
      <w:bookmarkStart w:id="29" w:name="_Toc273017987"/>
      <w:bookmarkStart w:id="30" w:name="_Toc309145159"/>
      <w:r>
        <w:t xml:space="preserve">2.1 </w:t>
      </w:r>
      <w:bookmarkEnd w:id="25"/>
      <w:r>
        <w:t xml:space="preserve">Partidas </w:t>
      </w:r>
      <w:proofErr w:type="spellStart"/>
      <w:r>
        <w:t>Extrapresupuestales</w:t>
      </w:r>
      <w:bookmarkEnd w:id="26"/>
      <w:proofErr w:type="spellEnd"/>
    </w:p>
    <w:p w:rsidR="0066025F" w:rsidRDefault="0066025F" w:rsidP="0066025F">
      <w:pPr>
        <w:widowControl w:val="0"/>
        <w:numPr>
          <w:ilvl w:val="0"/>
          <w:numId w:val="2"/>
        </w:numPr>
        <w:spacing w:line="360" w:lineRule="auto"/>
        <w:jc w:val="both"/>
        <w:rPr>
          <w:snapToGrid w:val="0"/>
        </w:rPr>
      </w:pPr>
      <w:r>
        <w:rPr>
          <w:snapToGrid w:val="0"/>
        </w:rPr>
        <w:t xml:space="preserve">En el Estado de Fondos </w:t>
      </w:r>
      <w:proofErr w:type="spellStart"/>
      <w:r>
        <w:rPr>
          <w:snapToGrid w:val="0"/>
        </w:rPr>
        <w:t>Extrapresupuestales</w:t>
      </w:r>
      <w:proofErr w:type="spellEnd"/>
      <w:r>
        <w:rPr>
          <w:snapToGrid w:val="0"/>
        </w:rPr>
        <w:t>, que no afecta resultados, se mantienen partidas pendientes de regularizar por un valor de $ 111.354 correspondientes a “faltantes de caja” originados en los Ejercicios 2003 y 2009, a cuales ya fueron resueltas administrativamente por la Intendencia, pero no se efectuaron los ajustes correspondientes.</w:t>
      </w:r>
    </w:p>
    <w:p w:rsidR="00CA7543" w:rsidRDefault="00CA7543" w:rsidP="0066025F">
      <w:pPr>
        <w:widowControl w:val="0"/>
        <w:numPr>
          <w:ilvl w:val="0"/>
          <w:numId w:val="2"/>
        </w:numPr>
        <w:spacing w:line="360" w:lineRule="auto"/>
        <w:jc w:val="both"/>
        <w:rPr>
          <w:snapToGrid w:val="0"/>
        </w:rPr>
      </w:pPr>
    </w:p>
    <w:p w:rsidR="0066025F" w:rsidRDefault="0066025F">
      <w:pPr>
        <w:pStyle w:val="Ttulo3"/>
      </w:pPr>
      <w:bookmarkStart w:id="31" w:name="_Toc404774777"/>
      <w:r>
        <w:t>2.2 Fondos  Indisponibles</w:t>
      </w:r>
      <w:bookmarkEnd w:id="31"/>
    </w:p>
    <w:p w:rsidR="0066025F" w:rsidRDefault="0066025F" w:rsidP="0066025F">
      <w:pPr>
        <w:numPr>
          <w:ilvl w:val="0"/>
          <w:numId w:val="2"/>
        </w:numPr>
        <w:spacing w:line="360" w:lineRule="auto"/>
        <w:jc w:val="both"/>
        <w:rPr>
          <w:kern w:val="1"/>
        </w:rPr>
      </w:pPr>
      <w:r>
        <w:rPr>
          <w:kern w:val="1"/>
        </w:rPr>
        <w:t>La Intendencia mantiene fondos indisponibles desde ejercicios anteriores sin ser vertidos a sus destinatarios, tales como (en pesos uruguayos):</w:t>
      </w:r>
    </w:p>
    <w:tbl>
      <w:tblPr>
        <w:tblW w:w="4128" w:type="dxa"/>
        <w:tblInd w:w="56" w:type="dxa"/>
        <w:tblCellMar>
          <w:left w:w="70" w:type="dxa"/>
          <w:right w:w="70" w:type="dxa"/>
        </w:tblCellMar>
        <w:tblLook w:val="04A0" w:firstRow="1" w:lastRow="0" w:firstColumn="1" w:lastColumn="0" w:noHBand="0" w:noVBand="1"/>
      </w:tblPr>
      <w:tblGrid>
        <w:gridCol w:w="2920"/>
        <w:gridCol w:w="1208"/>
      </w:tblGrid>
      <w:tr w:rsidR="0066025F">
        <w:trPr>
          <w:trHeight w:val="402"/>
        </w:trPr>
        <w:tc>
          <w:tcPr>
            <w:tcW w:w="2920" w:type="dxa"/>
            <w:tcBorders>
              <w:top w:val="nil"/>
              <w:left w:val="nil"/>
              <w:bottom w:val="nil"/>
              <w:right w:val="nil"/>
            </w:tcBorders>
            <w:noWrap/>
            <w:vAlign w:val="bottom"/>
            <w:hideMark/>
          </w:tcPr>
          <w:p w:rsidR="0066025F" w:rsidRDefault="0066025F">
            <w:pPr>
              <w:jc w:val="both"/>
              <w:rPr>
                <w:kern w:val="1"/>
              </w:rPr>
            </w:pPr>
            <w:r>
              <w:rPr>
                <w:kern w:val="1"/>
              </w:rPr>
              <w:t xml:space="preserve">DGI - IVA Contribuyente </w:t>
            </w:r>
          </w:p>
        </w:tc>
        <w:tc>
          <w:tcPr>
            <w:tcW w:w="1208" w:type="dxa"/>
            <w:tcBorders>
              <w:top w:val="nil"/>
              <w:left w:val="nil"/>
              <w:bottom w:val="nil"/>
              <w:right w:val="nil"/>
            </w:tcBorders>
            <w:noWrap/>
            <w:vAlign w:val="bottom"/>
            <w:hideMark/>
          </w:tcPr>
          <w:p w:rsidR="0066025F" w:rsidRDefault="0066025F">
            <w:pPr>
              <w:jc w:val="right"/>
              <w:rPr>
                <w:kern w:val="1"/>
              </w:rPr>
            </w:pPr>
            <w:r>
              <w:rPr>
                <w:kern w:val="1"/>
              </w:rPr>
              <w:t>-160.116</w:t>
            </w:r>
          </w:p>
        </w:tc>
      </w:tr>
      <w:tr w:rsidR="0066025F">
        <w:trPr>
          <w:trHeight w:val="402"/>
        </w:trPr>
        <w:tc>
          <w:tcPr>
            <w:tcW w:w="2920" w:type="dxa"/>
            <w:tcBorders>
              <w:top w:val="nil"/>
              <w:left w:val="nil"/>
              <w:bottom w:val="nil"/>
              <w:right w:val="nil"/>
            </w:tcBorders>
            <w:noWrap/>
            <w:vAlign w:val="bottom"/>
            <w:hideMark/>
          </w:tcPr>
          <w:p w:rsidR="0066025F" w:rsidRDefault="0066025F">
            <w:pPr>
              <w:jc w:val="both"/>
              <w:rPr>
                <w:kern w:val="1"/>
              </w:rPr>
            </w:pPr>
            <w:r>
              <w:rPr>
                <w:kern w:val="1"/>
              </w:rPr>
              <w:t xml:space="preserve">DGI - IVA Percepción </w:t>
            </w:r>
          </w:p>
        </w:tc>
        <w:tc>
          <w:tcPr>
            <w:tcW w:w="1208" w:type="dxa"/>
            <w:tcBorders>
              <w:top w:val="nil"/>
              <w:left w:val="nil"/>
              <w:bottom w:val="nil"/>
              <w:right w:val="nil"/>
            </w:tcBorders>
            <w:noWrap/>
            <w:vAlign w:val="bottom"/>
            <w:hideMark/>
          </w:tcPr>
          <w:p w:rsidR="0066025F" w:rsidRDefault="0066025F">
            <w:pPr>
              <w:jc w:val="right"/>
              <w:rPr>
                <w:kern w:val="1"/>
              </w:rPr>
            </w:pPr>
            <w:r>
              <w:rPr>
                <w:kern w:val="1"/>
              </w:rPr>
              <w:t>-348.224</w:t>
            </w:r>
          </w:p>
        </w:tc>
      </w:tr>
      <w:tr w:rsidR="0066025F">
        <w:trPr>
          <w:trHeight w:val="402"/>
        </w:trPr>
        <w:tc>
          <w:tcPr>
            <w:tcW w:w="2920" w:type="dxa"/>
            <w:tcBorders>
              <w:top w:val="nil"/>
              <w:left w:val="nil"/>
              <w:bottom w:val="nil"/>
              <w:right w:val="nil"/>
            </w:tcBorders>
            <w:noWrap/>
            <w:vAlign w:val="bottom"/>
            <w:hideMark/>
          </w:tcPr>
          <w:p w:rsidR="0066025F" w:rsidRDefault="0066025F">
            <w:pPr>
              <w:jc w:val="both"/>
              <w:rPr>
                <w:kern w:val="1"/>
              </w:rPr>
            </w:pPr>
            <w:r>
              <w:rPr>
                <w:kern w:val="1"/>
              </w:rPr>
              <w:t xml:space="preserve">DGI – Impuesto a la Carne </w:t>
            </w:r>
          </w:p>
        </w:tc>
        <w:tc>
          <w:tcPr>
            <w:tcW w:w="1208" w:type="dxa"/>
            <w:tcBorders>
              <w:top w:val="nil"/>
              <w:left w:val="nil"/>
              <w:bottom w:val="nil"/>
              <w:right w:val="nil"/>
            </w:tcBorders>
            <w:noWrap/>
            <w:vAlign w:val="bottom"/>
            <w:hideMark/>
          </w:tcPr>
          <w:p w:rsidR="0066025F" w:rsidRDefault="0066025F">
            <w:pPr>
              <w:jc w:val="right"/>
              <w:rPr>
                <w:kern w:val="1"/>
              </w:rPr>
            </w:pPr>
            <w:r>
              <w:rPr>
                <w:kern w:val="1"/>
              </w:rPr>
              <w:t>-39.297</w:t>
            </w:r>
          </w:p>
        </w:tc>
      </w:tr>
      <w:tr w:rsidR="0066025F">
        <w:trPr>
          <w:trHeight w:val="402"/>
        </w:trPr>
        <w:tc>
          <w:tcPr>
            <w:tcW w:w="2920" w:type="dxa"/>
            <w:tcBorders>
              <w:top w:val="nil"/>
              <w:left w:val="nil"/>
              <w:bottom w:val="nil"/>
              <w:right w:val="nil"/>
            </w:tcBorders>
            <w:noWrap/>
            <w:vAlign w:val="bottom"/>
            <w:hideMark/>
          </w:tcPr>
          <w:p w:rsidR="0066025F" w:rsidRDefault="0066025F">
            <w:pPr>
              <w:jc w:val="both"/>
              <w:rPr>
                <w:kern w:val="1"/>
              </w:rPr>
            </w:pPr>
            <w:r>
              <w:rPr>
                <w:kern w:val="1"/>
              </w:rPr>
              <w:t>INAC 0,7%</w:t>
            </w:r>
          </w:p>
        </w:tc>
        <w:tc>
          <w:tcPr>
            <w:tcW w:w="1208" w:type="dxa"/>
            <w:tcBorders>
              <w:top w:val="nil"/>
              <w:left w:val="nil"/>
              <w:bottom w:val="nil"/>
              <w:right w:val="nil"/>
            </w:tcBorders>
            <w:noWrap/>
            <w:vAlign w:val="bottom"/>
            <w:hideMark/>
          </w:tcPr>
          <w:p w:rsidR="0066025F" w:rsidRDefault="0066025F">
            <w:pPr>
              <w:jc w:val="right"/>
              <w:rPr>
                <w:kern w:val="1"/>
              </w:rPr>
            </w:pPr>
            <w:r>
              <w:rPr>
                <w:kern w:val="1"/>
              </w:rPr>
              <w:t>-76.259</w:t>
            </w:r>
          </w:p>
        </w:tc>
      </w:tr>
      <w:tr w:rsidR="0066025F">
        <w:trPr>
          <w:trHeight w:val="402"/>
        </w:trPr>
        <w:tc>
          <w:tcPr>
            <w:tcW w:w="2920" w:type="dxa"/>
            <w:tcBorders>
              <w:top w:val="nil"/>
              <w:left w:val="nil"/>
              <w:bottom w:val="nil"/>
              <w:right w:val="nil"/>
            </w:tcBorders>
            <w:noWrap/>
            <w:vAlign w:val="bottom"/>
            <w:hideMark/>
          </w:tcPr>
          <w:p w:rsidR="0066025F" w:rsidRDefault="0066025F">
            <w:pPr>
              <w:jc w:val="both"/>
              <w:rPr>
                <w:kern w:val="1"/>
              </w:rPr>
            </w:pPr>
            <w:r>
              <w:rPr>
                <w:kern w:val="1"/>
              </w:rPr>
              <w:t>Fondo de Garantía</w:t>
            </w:r>
          </w:p>
        </w:tc>
        <w:tc>
          <w:tcPr>
            <w:tcW w:w="1208" w:type="dxa"/>
            <w:tcBorders>
              <w:top w:val="nil"/>
              <w:left w:val="nil"/>
              <w:bottom w:val="nil"/>
              <w:right w:val="nil"/>
            </w:tcBorders>
            <w:noWrap/>
            <w:vAlign w:val="bottom"/>
            <w:hideMark/>
          </w:tcPr>
          <w:p w:rsidR="0066025F" w:rsidRDefault="0066025F">
            <w:pPr>
              <w:jc w:val="right"/>
              <w:rPr>
                <w:kern w:val="1"/>
              </w:rPr>
            </w:pPr>
            <w:r>
              <w:rPr>
                <w:kern w:val="1"/>
              </w:rPr>
              <w:t>4:710.733</w:t>
            </w:r>
          </w:p>
        </w:tc>
      </w:tr>
      <w:tr w:rsidR="0066025F">
        <w:trPr>
          <w:trHeight w:val="402"/>
        </w:trPr>
        <w:tc>
          <w:tcPr>
            <w:tcW w:w="2920" w:type="dxa"/>
            <w:tcBorders>
              <w:top w:val="nil"/>
              <w:left w:val="nil"/>
              <w:bottom w:val="nil"/>
              <w:right w:val="nil"/>
            </w:tcBorders>
            <w:noWrap/>
            <w:vAlign w:val="bottom"/>
            <w:hideMark/>
          </w:tcPr>
          <w:p w:rsidR="0066025F" w:rsidRDefault="0066025F">
            <w:pPr>
              <w:jc w:val="both"/>
              <w:rPr>
                <w:kern w:val="1"/>
              </w:rPr>
            </w:pPr>
            <w:proofErr w:type="spellStart"/>
            <w:r>
              <w:rPr>
                <w:kern w:val="1"/>
              </w:rPr>
              <w:t>Ret</w:t>
            </w:r>
            <w:proofErr w:type="spellEnd"/>
            <w:r>
              <w:rPr>
                <w:kern w:val="1"/>
              </w:rPr>
              <w:t>. Garantía Viv. Estiba</w:t>
            </w:r>
          </w:p>
        </w:tc>
        <w:tc>
          <w:tcPr>
            <w:tcW w:w="1208" w:type="dxa"/>
            <w:tcBorders>
              <w:top w:val="nil"/>
              <w:left w:val="nil"/>
              <w:bottom w:val="nil"/>
              <w:right w:val="nil"/>
            </w:tcBorders>
            <w:noWrap/>
            <w:vAlign w:val="bottom"/>
            <w:hideMark/>
          </w:tcPr>
          <w:p w:rsidR="0066025F" w:rsidRDefault="0066025F">
            <w:pPr>
              <w:jc w:val="right"/>
              <w:rPr>
                <w:kern w:val="1"/>
              </w:rPr>
            </w:pPr>
            <w:r>
              <w:rPr>
                <w:kern w:val="1"/>
              </w:rPr>
              <w:t>79.003</w:t>
            </w:r>
          </w:p>
        </w:tc>
      </w:tr>
    </w:tbl>
    <w:p w:rsidR="0068743C" w:rsidRPr="0068743C" w:rsidRDefault="0068743C" w:rsidP="0066025F">
      <w:pPr>
        <w:numPr>
          <w:ilvl w:val="0"/>
          <w:numId w:val="2"/>
        </w:numPr>
        <w:spacing w:line="360" w:lineRule="auto"/>
        <w:jc w:val="both"/>
      </w:pPr>
    </w:p>
    <w:p w:rsidR="0066025F" w:rsidRDefault="0066025F" w:rsidP="0066025F">
      <w:pPr>
        <w:numPr>
          <w:ilvl w:val="0"/>
          <w:numId w:val="2"/>
        </w:numPr>
        <w:spacing w:line="360" w:lineRule="auto"/>
        <w:jc w:val="both"/>
      </w:pPr>
      <w:r>
        <w:rPr>
          <w:kern w:val="1"/>
        </w:rPr>
        <w:t>Al respecto se considera que los Fondos de Garantía no revisten la calidad de indisponibles, ya que d</w:t>
      </w:r>
      <w:r>
        <w:rPr>
          <w:bCs/>
        </w:rPr>
        <w:t>e acuerdo con lo definido en el instructivo de Rendiciones de Cuentas de Gobiernos Departamentales de este Tribunal, se d</w:t>
      </w:r>
      <w:r>
        <w:t>eberán incluir en este estado únicamente los fondos correspondientes a retenciones efectuadas por la Intendencia por cuenta y orden de terceros.</w:t>
      </w:r>
    </w:p>
    <w:p w:rsidR="0066025F" w:rsidRDefault="0066025F" w:rsidP="0066025F">
      <w:pPr>
        <w:numPr>
          <w:ilvl w:val="0"/>
          <w:numId w:val="2"/>
        </w:numPr>
        <w:spacing w:line="360" w:lineRule="auto"/>
        <w:jc w:val="both"/>
      </w:pPr>
    </w:p>
    <w:p w:rsidR="0066025F" w:rsidRDefault="0066025F">
      <w:pPr>
        <w:pStyle w:val="Ttulo3"/>
      </w:pPr>
      <w:bookmarkStart w:id="32" w:name="_Toc404774778"/>
      <w:r>
        <w:t xml:space="preserve">2.3 </w:t>
      </w:r>
      <w:bookmarkEnd w:id="27"/>
      <w:bookmarkEnd w:id="28"/>
      <w:r>
        <w:t>Saldos con la Junta Departamental</w:t>
      </w:r>
      <w:bookmarkEnd w:id="32"/>
    </w:p>
    <w:p w:rsidR="0066025F" w:rsidRDefault="0066025F">
      <w:pPr>
        <w:spacing w:line="360" w:lineRule="auto"/>
        <w:jc w:val="both"/>
      </w:pPr>
      <w:bookmarkStart w:id="33" w:name="_Toc309145158"/>
      <w:r>
        <w:t>De la Rendición de Cuentas al 31/12/2013 de la Junta Departamental resulta un saldo adeudado por la Intendencia de $ 6:632.508, mientras que en la Rendición de Cuentas de la Intendencia se determinó un importe de $5:533.654. La diferencia, que asciende a $ 1:098.854, se verifica en las Obligaciones Presupuestales Impagas.</w:t>
      </w:r>
    </w:p>
    <w:p w:rsidR="0066025F" w:rsidRDefault="0066025F">
      <w:pPr>
        <w:pStyle w:val="Ttulo3"/>
      </w:pPr>
      <w:bookmarkStart w:id="34" w:name="_Toc404774779"/>
      <w:bookmarkStart w:id="35" w:name="_Toc309145161"/>
      <w:bookmarkEnd w:id="29"/>
      <w:bookmarkEnd w:id="30"/>
      <w:bookmarkEnd w:id="33"/>
    </w:p>
    <w:p w:rsidR="0066025F" w:rsidRDefault="0066025F">
      <w:pPr>
        <w:pStyle w:val="Ttulo3"/>
      </w:pPr>
      <w:r>
        <w:t xml:space="preserve">2.4 Conciliaciones entre Módulo Patrimonial y </w:t>
      </w:r>
      <w:bookmarkEnd w:id="34"/>
      <w:r>
        <w:t>de Gestión</w:t>
      </w:r>
    </w:p>
    <w:p w:rsidR="0066025F" w:rsidRDefault="0066025F">
      <w:pPr>
        <w:spacing w:line="360" w:lineRule="auto"/>
        <w:jc w:val="both"/>
      </w:pPr>
      <w:r>
        <w:t>Se constataron diferencias, en determinados rubros, entre la información proporcionada por el módulo patrimonial (contable) y por el módulo de gestión (financiero). En particular, se señala la diferencia constatada de $ 1:031.431 en el rubro “Sueldos a pagar”.</w:t>
      </w:r>
    </w:p>
    <w:p w:rsidR="0066025F" w:rsidRDefault="0066025F">
      <w:pPr>
        <w:spacing w:line="360" w:lineRule="auto"/>
        <w:jc w:val="both"/>
      </w:pPr>
    </w:p>
    <w:p w:rsidR="0066025F" w:rsidRDefault="0066025F">
      <w:pPr>
        <w:spacing w:line="360" w:lineRule="auto"/>
        <w:jc w:val="both"/>
        <w:rPr>
          <w:b/>
          <w:bCs/>
          <w:i/>
          <w:iCs/>
        </w:rPr>
      </w:pPr>
      <w:r>
        <w:rPr>
          <w:b/>
          <w:bCs/>
          <w:i/>
          <w:iCs/>
        </w:rPr>
        <w:t>2.5 Resolución del Tribunal de Cuentas de fecha 28/01/04</w:t>
      </w:r>
    </w:p>
    <w:p w:rsidR="0066025F" w:rsidRDefault="0066025F">
      <w:pPr>
        <w:spacing w:line="360" w:lineRule="auto"/>
        <w:jc w:val="both"/>
        <w:rPr>
          <w:b/>
        </w:rPr>
      </w:pPr>
      <w:r>
        <w:rPr>
          <w:bCs/>
        </w:rPr>
        <w:t>El documento de la Rendición de Cuentas presentado no se ajustó, en su totalidad, a lo dispuesto por dicha Resolución por los siguientes motivos</w:t>
      </w:r>
      <w:proofErr w:type="gramStart"/>
      <w:r>
        <w:rPr>
          <w:bCs/>
        </w:rPr>
        <w:t>:.</w:t>
      </w:r>
      <w:proofErr w:type="gramEnd"/>
    </w:p>
    <w:p w:rsidR="0066025F" w:rsidRDefault="0066025F" w:rsidP="0066025F">
      <w:pPr>
        <w:numPr>
          <w:ilvl w:val="0"/>
          <w:numId w:val="3"/>
        </w:numPr>
        <w:spacing w:line="360" w:lineRule="auto"/>
        <w:jc w:val="both"/>
      </w:pPr>
      <w:r>
        <w:t>El Estado Nº 3.3.2 – Ejecución a nivel de objeto está preparado de acuerdo al Instructivo. Sin embargo, se constató que una de las diferencias fue mal clasificada en la columna “Gastado en menos” cuando correspondía a “Gastado en más” (Programa 106, Renglón 576), generando una diferencia de $ 697.266.</w:t>
      </w:r>
    </w:p>
    <w:p w:rsidR="0066025F" w:rsidRDefault="0066025F" w:rsidP="0066025F">
      <w:pPr>
        <w:numPr>
          <w:ilvl w:val="0"/>
          <w:numId w:val="3"/>
        </w:numPr>
        <w:spacing w:line="360" w:lineRule="auto"/>
        <w:jc w:val="both"/>
      </w:pPr>
      <w:r>
        <w:t>Se observó que en el Estado 3.3.4 – Trasposiciones e Indexaciones, no se completó la columna indexaciones. En algunos casos el monto que debería ir en la columna de “Indexación” se sumó a la columna de “Crédito Original” y en otros en la columna “Trasposición”.</w:t>
      </w:r>
    </w:p>
    <w:p w:rsidR="0066025F" w:rsidRDefault="0066025F" w:rsidP="0066025F">
      <w:pPr>
        <w:numPr>
          <w:ilvl w:val="0"/>
          <w:numId w:val="3"/>
        </w:numPr>
        <w:spacing w:line="360" w:lineRule="auto"/>
        <w:jc w:val="both"/>
      </w:pPr>
      <w:r>
        <w:t>Se constató que no se presentó el Estado 3.3.5 – Compromisos de inversión no ejecutados al cierre del Ejercicio.</w:t>
      </w:r>
    </w:p>
    <w:p w:rsidR="0066025F" w:rsidRDefault="0066025F" w:rsidP="0066025F">
      <w:pPr>
        <w:numPr>
          <w:ilvl w:val="0"/>
          <w:numId w:val="3"/>
        </w:numPr>
        <w:spacing w:line="360" w:lineRule="auto"/>
        <w:jc w:val="both"/>
      </w:pPr>
      <w:r>
        <w:t>El Estado Nº 3.4.1 – Ejecución del presupuesto con relación a los recursos está preparado de acuerdo al Instructivo. No obstante, se constató que la diferencia entre lo previsto y lo recaudado, no coincide con lo expuesto en las columnas “en más” y “en menos”. La diferencia asciende a $ 13:136.073.</w:t>
      </w:r>
    </w:p>
    <w:p w:rsidR="0066025F" w:rsidRDefault="0066025F" w:rsidP="0066025F">
      <w:pPr>
        <w:numPr>
          <w:ilvl w:val="0"/>
          <w:numId w:val="3"/>
        </w:numPr>
        <w:spacing w:line="360" w:lineRule="auto"/>
        <w:jc w:val="both"/>
      </w:pPr>
      <w:r>
        <w:rPr>
          <w:lang w:eastAsia="zh-CN"/>
        </w:rPr>
        <w:t>Falta el certificado del BROU relacionado a la cuenta 111361 – BROU Cartas de crédito.</w:t>
      </w:r>
    </w:p>
    <w:p w:rsidR="0066025F" w:rsidRDefault="0066025F" w:rsidP="0066025F">
      <w:pPr>
        <w:numPr>
          <w:ilvl w:val="0"/>
          <w:numId w:val="3"/>
        </w:numPr>
        <w:spacing w:line="360" w:lineRule="auto"/>
        <w:jc w:val="both"/>
        <w:rPr>
          <w:lang w:eastAsia="zh-CN"/>
        </w:rPr>
      </w:pPr>
      <w:r>
        <w:rPr>
          <w:lang w:eastAsia="zh-CN"/>
        </w:rPr>
        <w:t>La denominación del Estado que expone el resultado acumulado no es correcta.</w:t>
      </w:r>
    </w:p>
    <w:p w:rsidR="0066025F" w:rsidRDefault="0066025F">
      <w:pPr>
        <w:pStyle w:val="Ttulo2"/>
      </w:pPr>
      <w:bookmarkStart w:id="36" w:name="_Toc309145165"/>
      <w:bookmarkEnd w:id="35"/>
    </w:p>
    <w:p w:rsidR="0066025F" w:rsidRDefault="0066025F">
      <w:pPr>
        <w:pStyle w:val="Ttulo2"/>
      </w:pPr>
      <w:bookmarkStart w:id="37" w:name="_Toc404774780"/>
      <w:r>
        <w:t>3.3  Debilidades de Control Interno</w:t>
      </w:r>
      <w:bookmarkEnd w:id="36"/>
      <w:bookmarkEnd w:id="37"/>
    </w:p>
    <w:p w:rsidR="0066025F" w:rsidRDefault="0066025F">
      <w:pPr>
        <w:pStyle w:val="Ttulo3"/>
      </w:pPr>
      <w:bookmarkStart w:id="38" w:name="_Toc309145166"/>
      <w:bookmarkStart w:id="39" w:name="_Toc404774781"/>
      <w:r>
        <w:t>3.1  Respecto a recursos y manejo de fondos</w:t>
      </w:r>
      <w:bookmarkEnd w:id="38"/>
      <w:bookmarkEnd w:id="39"/>
    </w:p>
    <w:p w:rsidR="0066025F" w:rsidRDefault="0066025F">
      <w:pPr>
        <w:rPr>
          <w:b/>
        </w:rPr>
      </w:pPr>
      <w:bookmarkStart w:id="40" w:name="_Toc309145167"/>
      <w:r>
        <w:rPr>
          <w:b/>
        </w:rPr>
        <w:t>-  Aforos de inmuebles</w:t>
      </w:r>
      <w:bookmarkEnd w:id="40"/>
    </w:p>
    <w:p w:rsidR="0066025F" w:rsidRDefault="0066025F">
      <w:pPr>
        <w:spacing w:line="360" w:lineRule="auto"/>
        <w:jc w:val="both"/>
      </w:pPr>
      <w:bookmarkStart w:id="41" w:name="_Toc309145168"/>
      <w:r>
        <w:t>Si bien la Intendencia ha incrementado los controles, aún no se verifica la coincidencia total entre los aforos utilizados por la Intendencia y los de la Dirección Nacional de Catastro.</w:t>
      </w:r>
    </w:p>
    <w:p w:rsidR="0066025F" w:rsidRDefault="0066025F">
      <w:pPr>
        <w:rPr>
          <w:b/>
        </w:rPr>
      </w:pPr>
      <w:r>
        <w:rPr>
          <w:b/>
        </w:rPr>
        <w:t>-  Caja</w:t>
      </w:r>
      <w:bookmarkEnd w:id="41"/>
    </w:p>
    <w:p w:rsidR="0066025F" w:rsidRDefault="0066025F">
      <w:pPr>
        <w:spacing w:line="360" w:lineRule="auto"/>
        <w:jc w:val="both"/>
      </w:pPr>
      <w:r>
        <w:t>En el caso de oficinas recaudadoras donde los cobros se realizan en forma manual, las operaciones diarias de caja no son registradas en el sistema en forma automática, lo cual genera diferencias en la información contable brindada respecto a lo real.</w:t>
      </w:r>
    </w:p>
    <w:p w:rsidR="0066025F" w:rsidRDefault="0066025F">
      <w:pPr>
        <w:spacing w:line="360" w:lineRule="auto"/>
        <w:jc w:val="both"/>
      </w:pPr>
    </w:p>
    <w:p w:rsidR="0066025F" w:rsidRDefault="0066025F">
      <w:pPr>
        <w:pStyle w:val="Ttulo3"/>
      </w:pPr>
      <w:bookmarkStart w:id="42" w:name="_Toc309145170"/>
      <w:bookmarkStart w:id="43" w:name="_Toc404774782"/>
      <w:r>
        <w:t>3.2  Respecto a retribuciones personales</w:t>
      </w:r>
      <w:bookmarkEnd w:id="42"/>
      <w:bookmarkEnd w:id="43"/>
      <w:r>
        <w:t xml:space="preserve"> </w:t>
      </w:r>
    </w:p>
    <w:p w:rsidR="0066025F" w:rsidRDefault="0066025F">
      <w:pPr>
        <w:spacing w:line="360" w:lineRule="auto"/>
        <w:jc w:val="both"/>
      </w:pPr>
      <w:bookmarkStart w:id="44" w:name="_Toc309145172"/>
      <w:r>
        <w:t>Personal de División de Liquidación de Haberes tiene acceso para efectuar modificaciones en los registros de los tres módulos del sistema de administración de personal: liquidación d</w:t>
      </w:r>
      <w:r w:rsidR="0068743C">
        <w:t>e haberes, legajos y licencias.</w:t>
      </w:r>
    </w:p>
    <w:p w:rsidR="0066025F" w:rsidRDefault="0066025F">
      <w:pPr>
        <w:spacing w:line="360" w:lineRule="auto"/>
        <w:jc w:val="both"/>
        <w:rPr>
          <w:b/>
          <w:bCs/>
        </w:rPr>
      </w:pPr>
      <w:r>
        <w:t>No se efectúan trabajos de contralor sobre las liquidaciones realizadas por la División antes mencionada desde el Departamento de Administración de Personal ni desde la Contaduría</w:t>
      </w:r>
      <w:r w:rsidRPr="0068743C">
        <w:rPr>
          <w:bCs/>
        </w:rPr>
        <w:t>.</w:t>
      </w:r>
    </w:p>
    <w:p w:rsidR="0066025F" w:rsidRDefault="0066025F">
      <w:pPr>
        <w:spacing w:line="360" w:lineRule="auto"/>
        <w:jc w:val="both"/>
        <w:rPr>
          <w:b/>
          <w:bCs/>
        </w:rPr>
      </w:pPr>
    </w:p>
    <w:p w:rsidR="0066025F" w:rsidRDefault="0066025F">
      <w:pPr>
        <w:pStyle w:val="Ttulo3"/>
      </w:pPr>
      <w:bookmarkStart w:id="45" w:name="_Toc404774783"/>
      <w:r>
        <w:t>3.3 Respecto al sistema de compras</w:t>
      </w:r>
      <w:bookmarkEnd w:id="44"/>
      <w:bookmarkEnd w:id="45"/>
    </w:p>
    <w:p w:rsidR="0066025F" w:rsidRDefault="0066025F">
      <w:pPr>
        <w:spacing w:line="360" w:lineRule="auto"/>
        <w:rPr>
          <w:b/>
        </w:rPr>
      </w:pPr>
      <w:bookmarkStart w:id="46" w:name="_Toc309145173"/>
      <w:r>
        <w:rPr>
          <w:b/>
        </w:rPr>
        <w:t>- Compras sin solicitud previa</w:t>
      </w:r>
      <w:bookmarkEnd w:id="46"/>
    </w:p>
    <w:p w:rsidR="0066025F" w:rsidRDefault="0066025F">
      <w:pPr>
        <w:spacing w:line="360" w:lineRule="auto"/>
        <w:jc w:val="both"/>
      </w:pPr>
      <w:r>
        <w:t>No se han implementado las acciones necesarias para que todas las compras realizadas por la Intendencia se ejecuten a través del sistema de adquisiciones de forma que resulten sometidas a los controles previstos en el mismo con la intervención y seguimiento de la División Adquisiciones.  No se planifican las adquisiciones en función de las necesidades de los distintos materiales e insumos</w:t>
      </w:r>
      <w:r w:rsidR="0068743C">
        <w:t xml:space="preserve"> utilizados por la Intendencia.</w:t>
      </w:r>
    </w:p>
    <w:p w:rsidR="0066025F" w:rsidRDefault="0066025F">
      <w:pPr>
        <w:spacing w:line="360" w:lineRule="auto"/>
        <w:jc w:val="both"/>
      </w:pPr>
    </w:p>
    <w:p w:rsidR="0066025F" w:rsidRDefault="0066025F">
      <w:pPr>
        <w:pStyle w:val="Ttulo3"/>
      </w:pPr>
      <w:bookmarkStart w:id="47" w:name="_Toc404774784"/>
      <w:bookmarkStart w:id="48" w:name="_Toc309145176"/>
      <w:r>
        <w:t>3.4 Administración de stock</w:t>
      </w:r>
      <w:bookmarkEnd w:id="47"/>
    </w:p>
    <w:p w:rsidR="0066025F" w:rsidRDefault="0066025F">
      <w:pPr>
        <w:spacing w:line="360" w:lineRule="auto"/>
        <w:jc w:val="both"/>
      </w:pPr>
      <w:r>
        <w:t>Si bien la Intendencia ha instrumentado acciones a los efectos de solucionar las debilidades existentes en la administración del stock de los materiales y suministros, aun no se han podido verificar los procedimientos de control que garanticen la seguridad y conservación de los biene</w:t>
      </w:r>
      <w:r w:rsidR="0068743C">
        <w:t>s almacenados en los depósitos.</w:t>
      </w:r>
    </w:p>
    <w:p w:rsidR="0066025F" w:rsidRDefault="0066025F">
      <w:pPr>
        <w:spacing w:line="360" w:lineRule="auto"/>
        <w:jc w:val="both"/>
      </w:pPr>
      <w:r>
        <w:t xml:space="preserve">No se realizan recuentos físicos de artículos que muestren los niveles de stock de cada una de las áreas de la </w:t>
      </w:r>
      <w:r w:rsidR="0068743C">
        <w:t>Intendencia.</w:t>
      </w:r>
    </w:p>
    <w:p w:rsidR="0066025F" w:rsidRDefault="0066025F">
      <w:pPr>
        <w:spacing w:line="360" w:lineRule="auto"/>
        <w:jc w:val="both"/>
      </w:pPr>
      <w:r>
        <w:t>Se ha adquirido un software de administración de stock, el cual no está operativo a la fecha.</w:t>
      </w:r>
    </w:p>
    <w:p w:rsidR="0066025F" w:rsidRDefault="0066025F">
      <w:pPr>
        <w:pStyle w:val="Ttulo2"/>
        <w:rPr>
          <w:color w:val="FF0000"/>
        </w:rPr>
      </w:pPr>
    </w:p>
    <w:p w:rsidR="0066025F" w:rsidRDefault="0066025F">
      <w:pPr>
        <w:pStyle w:val="Ttulo2"/>
      </w:pPr>
      <w:bookmarkStart w:id="49" w:name="_Toc309145178"/>
      <w:bookmarkStart w:id="50" w:name="_Toc404774785"/>
      <w:bookmarkEnd w:id="48"/>
      <w:r>
        <w:t>4 Recomendaciones</w:t>
      </w:r>
      <w:bookmarkEnd w:id="17"/>
      <w:bookmarkEnd w:id="49"/>
      <w:bookmarkEnd w:id="50"/>
    </w:p>
    <w:p w:rsidR="0066025F" w:rsidRDefault="0066025F">
      <w:pPr>
        <w:pStyle w:val="Ttulo3"/>
      </w:pPr>
      <w:bookmarkStart w:id="51" w:name="_Toc404774786"/>
      <w:r>
        <w:t>4.1 Recomendaciones de ejercicios anteriores cumplidas</w:t>
      </w:r>
      <w:bookmarkEnd w:id="51"/>
    </w:p>
    <w:p w:rsidR="0066025F" w:rsidRDefault="0066025F">
      <w:pPr>
        <w:pStyle w:val="Textoindependiente"/>
        <w:widowControl w:val="0"/>
        <w:spacing w:after="0" w:line="360" w:lineRule="auto"/>
        <w:jc w:val="left"/>
        <w:rPr>
          <w:b/>
          <w:i/>
          <w:iCs/>
          <w:kern w:val="0"/>
          <w:lang w:val="es-ES"/>
        </w:rPr>
      </w:pPr>
      <w:bookmarkStart w:id="52" w:name="_Toc309145208"/>
      <w:r>
        <w:rPr>
          <w:b/>
          <w:i/>
          <w:iCs/>
          <w:kern w:val="0"/>
          <w:lang w:val="es-UY"/>
        </w:rPr>
        <w:t xml:space="preserve">4.1.1 </w:t>
      </w:r>
      <w:r>
        <w:rPr>
          <w:b/>
          <w:i/>
          <w:iCs/>
          <w:kern w:val="0"/>
          <w:lang w:val="es-ES"/>
        </w:rPr>
        <w:t>Artículo 111 del TOCAF</w:t>
      </w:r>
    </w:p>
    <w:p w:rsidR="0066025F" w:rsidRDefault="0066025F">
      <w:pPr>
        <w:pStyle w:val="Textoindependiente"/>
        <w:widowControl w:val="0"/>
        <w:spacing w:after="0" w:line="360" w:lineRule="auto"/>
        <w:rPr>
          <w:lang w:val="es-ES"/>
        </w:rPr>
      </w:pPr>
      <w:r>
        <w:rPr>
          <w:lang w:val="es-ES"/>
        </w:rPr>
        <w:t>La Intendencia ha puesto en funcionamiento la Unidad de Auditoría Interna mediante el nombramiento de un Contador a cargo de la misma.</w:t>
      </w:r>
    </w:p>
    <w:p w:rsidR="0066025F" w:rsidRDefault="0066025F">
      <w:pPr>
        <w:pStyle w:val="Textoindependiente"/>
        <w:widowControl w:val="0"/>
        <w:spacing w:after="0" w:line="360" w:lineRule="auto"/>
        <w:jc w:val="left"/>
        <w:rPr>
          <w:b/>
          <w:i/>
          <w:kern w:val="0"/>
        </w:rPr>
      </w:pPr>
      <w:r>
        <w:rPr>
          <w:b/>
          <w:i/>
          <w:kern w:val="0"/>
        </w:rPr>
        <w:t>4.1.2 Artículos N° 84 y 97 del TOCAF</w:t>
      </w:r>
    </w:p>
    <w:p w:rsidR="0066025F" w:rsidRDefault="0066025F">
      <w:pPr>
        <w:pStyle w:val="Textoindependiente"/>
        <w:widowControl w:val="0"/>
        <w:spacing w:after="0" w:line="360" w:lineRule="auto"/>
        <w:rPr>
          <w:kern w:val="0"/>
        </w:rPr>
      </w:pPr>
      <w:r>
        <w:rPr>
          <w:kern w:val="0"/>
        </w:rPr>
        <w:t>La Intendencia ha presentado en el Ejercicio 2013 el inventario valuado de sus bienes muebles e inmuebles y se han registrado las existencias y los movimientos de los mismos en el módulo contable correspondiente.</w:t>
      </w:r>
    </w:p>
    <w:p w:rsidR="0066025F" w:rsidRDefault="0066025F">
      <w:pPr>
        <w:pStyle w:val="Textoindependiente"/>
        <w:widowControl w:val="0"/>
        <w:spacing w:after="0" w:line="360" w:lineRule="auto"/>
        <w:jc w:val="left"/>
        <w:rPr>
          <w:b/>
          <w:i/>
          <w:kern w:val="0"/>
        </w:rPr>
      </w:pPr>
      <w:r>
        <w:rPr>
          <w:b/>
          <w:i/>
          <w:kern w:val="0"/>
        </w:rPr>
        <w:t>4.1.3 Resolución del Tribunal de Cuentas de fecha 28/01/04 </w:t>
      </w:r>
    </w:p>
    <w:p w:rsidR="0066025F" w:rsidRDefault="0066025F">
      <w:pPr>
        <w:pStyle w:val="Textoindependiente"/>
        <w:widowControl w:val="0"/>
        <w:spacing w:after="0" w:line="360" w:lineRule="auto"/>
        <w:rPr>
          <w:kern w:val="0"/>
        </w:rPr>
      </w:pPr>
      <w:r>
        <w:rPr>
          <w:kern w:val="0"/>
        </w:rPr>
        <w:t>Se constató que el Estado Nº 2 – Estado Demostrativo del Resultado de Ejecución - se ha preparado de acuerdo al Instructivo presentando por separado lo recaudado por orige</w:t>
      </w:r>
      <w:r w:rsidR="00BA446F">
        <w:rPr>
          <w:kern w:val="0"/>
        </w:rPr>
        <w:t>n departamental de lo nacional.</w:t>
      </w:r>
    </w:p>
    <w:p w:rsidR="0066025F" w:rsidRDefault="0066025F">
      <w:pPr>
        <w:pStyle w:val="Textoindependiente"/>
        <w:widowControl w:val="0"/>
        <w:spacing w:after="0" w:line="360" w:lineRule="auto"/>
        <w:rPr>
          <w:kern w:val="0"/>
        </w:rPr>
      </w:pPr>
    </w:p>
    <w:p w:rsidR="0066025F" w:rsidRDefault="0066025F">
      <w:pPr>
        <w:pStyle w:val="Ttulo3"/>
      </w:pPr>
      <w:bookmarkStart w:id="53" w:name="_Toc86129203"/>
      <w:bookmarkStart w:id="54" w:name="_Toc309145186"/>
      <w:bookmarkStart w:id="55" w:name="_Toc404774787"/>
      <w:bookmarkEnd w:id="52"/>
      <w:r>
        <w:t>4.2 Recomendaciones de Ejercicios anteriores no cumplidas</w:t>
      </w:r>
      <w:bookmarkEnd w:id="53"/>
      <w:bookmarkEnd w:id="54"/>
      <w:bookmarkEnd w:id="55"/>
      <w:r>
        <w:t xml:space="preserve"> </w:t>
      </w:r>
    </w:p>
    <w:p w:rsidR="0066025F" w:rsidRDefault="0066025F">
      <w:pPr>
        <w:pStyle w:val="Ttulo4"/>
      </w:pPr>
      <w:bookmarkStart w:id="56" w:name="_Toc86129204"/>
      <w:bookmarkStart w:id="57" w:name="_Toc309145187"/>
      <w:r>
        <w:t>4.2.1 Excesos de gastos</w:t>
      </w:r>
      <w:bookmarkEnd w:id="56"/>
      <w:bookmarkEnd w:id="57"/>
    </w:p>
    <w:p w:rsidR="0066025F" w:rsidRDefault="0066025F">
      <w:pPr>
        <w:pStyle w:val="Textoindependiente"/>
        <w:widowControl w:val="0"/>
        <w:spacing w:after="0" w:line="360" w:lineRule="auto"/>
        <w:rPr>
          <w:lang w:val="es-ES"/>
        </w:rPr>
      </w:pPr>
      <w:r>
        <w:rPr>
          <w:lang w:val="es-ES"/>
        </w:rPr>
        <w:t>Por medio de las trasposiciones de rubros se deberán evitar o reducir los excesos de gastos respecto de los crédi</w:t>
      </w:r>
      <w:r w:rsidR="00BA446F">
        <w:rPr>
          <w:lang w:val="es-ES"/>
        </w:rPr>
        <w:t>tos presupuestales autorizados.</w:t>
      </w:r>
    </w:p>
    <w:p w:rsidR="0066025F" w:rsidRDefault="0066025F">
      <w:pPr>
        <w:pStyle w:val="Textoindependiente"/>
        <w:widowControl w:val="0"/>
        <w:spacing w:after="0" w:line="360" w:lineRule="auto"/>
        <w:rPr>
          <w:lang w:val="es-ES"/>
        </w:rPr>
      </w:pPr>
      <w:r>
        <w:rPr>
          <w:lang w:val="es-ES"/>
        </w:rPr>
        <w:t>Se ejecutaron gastos que superaron las asignaciones presupuestales de los objetos respectivos en $ 15:385.704, mientras que en otros objetos de gastos se produjeron economías por $ 15:589.743.</w:t>
      </w:r>
    </w:p>
    <w:p w:rsidR="0066025F" w:rsidRDefault="0066025F">
      <w:pPr>
        <w:pStyle w:val="Ttulo4"/>
      </w:pPr>
      <w:bookmarkStart w:id="58" w:name="_Toc309145188"/>
      <w:bookmarkStart w:id="59" w:name="_Toc309145189"/>
      <w:bookmarkStart w:id="60" w:name="_Toc79842186"/>
      <w:r>
        <w:t xml:space="preserve">4.2.2 Partidas de </w:t>
      </w:r>
      <w:proofErr w:type="spellStart"/>
      <w:r>
        <w:t>Extrapresupuesto</w:t>
      </w:r>
      <w:bookmarkEnd w:id="58"/>
      <w:proofErr w:type="spellEnd"/>
    </w:p>
    <w:p w:rsidR="0066025F" w:rsidRDefault="0066025F">
      <w:pPr>
        <w:pStyle w:val="Textoindependiente"/>
        <w:widowControl w:val="0"/>
        <w:spacing w:after="0" w:line="360" w:lineRule="auto"/>
      </w:pPr>
      <w:r>
        <w:rPr>
          <w:lang w:val="es-ES"/>
        </w:rPr>
        <w:t>La Intendencia de Rivera deberá arbitrar los mecanismos correspondientes a efectos de realizar los ajustes que correspondan con relación a las partidas que se vienen exponiendo desde hace varios ejercicios por deudas de empresas que explotaron el Abasto y los Mercados Municipales durante el período de gobierno 1990-1994 por $ 120.861 y $ 62.397, respectivamente.</w:t>
      </w:r>
    </w:p>
    <w:p w:rsidR="0066025F" w:rsidRDefault="0066025F">
      <w:pPr>
        <w:pStyle w:val="Ttulo4"/>
      </w:pPr>
      <w:r>
        <w:t>4.2.3 Contratación de suministros y servicios</w:t>
      </w:r>
      <w:bookmarkEnd w:id="59"/>
    </w:p>
    <w:p w:rsidR="0066025F" w:rsidRDefault="0066025F">
      <w:pPr>
        <w:spacing w:line="360" w:lineRule="auto"/>
        <w:jc w:val="both"/>
      </w:pPr>
      <w:r>
        <w:t>Para poder dar cumplimiento a lo dispuesto por el Artículo 43 del TOCAF, la Intendencia deberá adoptar las medidas necesarias para contratar los suministros o servicios por grupos de artículos o servicios, de forma de facilitar la presentación del mayor número posible de oferentes, teniendo en cuenta el procedimiento de contratación que corresponda de acuerdo a lo establecido en el Artículo 33 del TOCAF. Sin perjuicio de lo dispuesto precedentemente, los ordenadores, bajo su responsabilidad, podrán fraccionar las compras dejando expresa constancia de su fundamento y de su conveniencia para el servicio, tal como lo dispone la mencionada norma.</w:t>
      </w:r>
    </w:p>
    <w:p w:rsidR="0066025F" w:rsidRDefault="0066025F">
      <w:pPr>
        <w:pStyle w:val="Ttulo4"/>
      </w:pPr>
      <w:bookmarkStart w:id="61" w:name="_Toc334706437"/>
      <w:r>
        <w:t>4.2.4 Imputación previa</w:t>
      </w:r>
      <w:bookmarkEnd w:id="61"/>
    </w:p>
    <w:p w:rsidR="0066025F" w:rsidRDefault="0066025F">
      <w:pPr>
        <w:pStyle w:val="Textoindependiente"/>
        <w:spacing w:after="0" w:line="360" w:lineRule="auto"/>
        <w:rPr>
          <w:kern w:val="0"/>
        </w:rPr>
      </w:pPr>
      <w:r>
        <w:rPr>
          <w:kern w:val="0"/>
        </w:rPr>
        <w:t>Para poder controlar el cumplimiento de lo dispuesto en el Artículo 15 del TOCAF, la Intendencia deberá realizar la imputación previa al objeto correspondiente de los gastos que se autoricen.</w:t>
      </w:r>
    </w:p>
    <w:p w:rsidR="0066025F" w:rsidRDefault="0066025F">
      <w:pPr>
        <w:pStyle w:val="Ttulo4"/>
      </w:pPr>
      <w:bookmarkStart w:id="62" w:name="_Toc309145190"/>
      <w:r>
        <w:t>4.2.5 Gestión patrimonial</w:t>
      </w:r>
      <w:bookmarkEnd w:id="60"/>
      <w:bookmarkEnd w:id="62"/>
    </w:p>
    <w:p w:rsidR="0066025F" w:rsidRDefault="0066025F">
      <w:pPr>
        <w:pStyle w:val="Textoindependiente"/>
        <w:widowControl w:val="0"/>
        <w:spacing w:after="0" w:line="360" w:lineRule="auto"/>
        <w:rPr>
          <w:kern w:val="0"/>
          <w:lang w:val="es-ES"/>
        </w:rPr>
      </w:pPr>
      <w:r>
        <w:rPr>
          <w:kern w:val="0"/>
          <w:lang w:val="es-ES"/>
        </w:rPr>
        <w:t xml:space="preserve">La Intendencia deberá  implementar el sistema de contabilidad patrimonial, conforme a lo establecido en el </w:t>
      </w:r>
      <w:r>
        <w:t>Artículo 94 del TOCAF</w:t>
      </w:r>
      <w:r>
        <w:rPr>
          <w:kern w:val="0"/>
          <w:lang w:val="es-ES"/>
        </w:rPr>
        <w:t xml:space="preserve"> y a la Ordenanza N° 81 de este Tribunal.</w:t>
      </w:r>
    </w:p>
    <w:p w:rsidR="0066025F" w:rsidRDefault="0066025F">
      <w:pPr>
        <w:pStyle w:val="Ttulo4"/>
        <w:rPr>
          <w:snapToGrid w:val="0"/>
        </w:rPr>
      </w:pPr>
      <w:bookmarkStart w:id="63" w:name="_Toc309145194"/>
      <w:r>
        <w:t>4.2.6 Resolución de este Tribunal de 11/05/05</w:t>
      </w:r>
      <w:bookmarkEnd w:id="63"/>
    </w:p>
    <w:p w:rsidR="0066025F" w:rsidRDefault="0066025F">
      <w:pPr>
        <w:spacing w:line="360" w:lineRule="auto"/>
        <w:jc w:val="both"/>
      </w:pPr>
      <w:r>
        <w:t xml:space="preserve">A efectos de dar cumplimiento a lo dispuesto por esta Resolución, se deben comunicar a este Tribunal antes del 31 de enero y del 31 de julio de cada año, los informes correspondientes </w:t>
      </w:r>
      <w:proofErr w:type="gramStart"/>
      <w:r>
        <w:t>al semestre anterior producidos</w:t>
      </w:r>
      <w:proofErr w:type="gramEnd"/>
      <w:r>
        <w:t xml:space="preserve"> por las Comisiones de Control u Oficinas que tengan a su cargo la verificación del cumplimiento de los contratos de concesiones correspondientes.</w:t>
      </w:r>
    </w:p>
    <w:p w:rsidR="0066025F" w:rsidRDefault="0066025F">
      <w:pPr>
        <w:pStyle w:val="Ttulo4"/>
      </w:pPr>
      <w:bookmarkStart w:id="64" w:name="_Toc309145193"/>
      <w:bookmarkStart w:id="65" w:name="_Toc86129210"/>
      <w:r>
        <w:t>4.2.7 Horas Extras</w:t>
      </w:r>
      <w:bookmarkEnd w:id="64"/>
    </w:p>
    <w:p w:rsidR="0066025F" w:rsidRDefault="0066025F">
      <w:pPr>
        <w:pStyle w:val="Ttulo4"/>
        <w:jc w:val="both"/>
        <w:rPr>
          <w:b w:val="0"/>
          <w:i w:val="0"/>
        </w:rPr>
      </w:pPr>
      <w:bookmarkStart w:id="66" w:name="_Toc309145195"/>
      <w:bookmarkStart w:id="67" w:name="_Toc86129213"/>
      <w:bookmarkEnd w:id="65"/>
      <w:r>
        <w:rPr>
          <w:b w:val="0"/>
          <w:i w:val="0"/>
        </w:rPr>
        <w:t>La Intendencia debe implementar un sistema que permita conocer en forma fehaciente el número de horas extras r</w:t>
      </w:r>
      <w:r w:rsidR="00BA446F">
        <w:rPr>
          <w:b w:val="0"/>
          <w:i w:val="0"/>
        </w:rPr>
        <w:t>ealizadas.</w:t>
      </w:r>
    </w:p>
    <w:p w:rsidR="0066025F" w:rsidRDefault="0066025F">
      <w:pPr>
        <w:pStyle w:val="Ttulo4"/>
      </w:pPr>
      <w:bookmarkStart w:id="68" w:name="_Toc309145196"/>
      <w:bookmarkEnd w:id="66"/>
      <w:r>
        <w:t>4.2.8  Aforos de inmuebles</w:t>
      </w:r>
      <w:bookmarkEnd w:id="68"/>
    </w:p>
    <w:p w:rsidR="0066025F" w:rsidRDefault="0066025F">
      <w:pPr>
        <w:pStyle w:val="Textoindependiente"/>
        <w:widowControl w:val="0"/>
        <w:spacing w:after="0" w:line="360" w:lineRule="auto"/>
        <w:rPr>
          <w:lang w:val="es-ES"/>
        </w:rPr>
      </w:pPr>
      <w:r>
        <w:rPr>
          <w:lang w:val="es-ES"/>
        </w:rPr>
        <w:t>Corresponde realizar controles periódicos a efectos de verificar la coincidencia entre los aforos utilizados por la Intendencia y los de la Dirección Nacional de Catastro.</w:t>
      </w:r>
    </w:p>
    <w:p w:rsidR="0066025F" w:rsidRDefault="0066025F">
      <w:pPr>
        <w:pStyle w:val="Ttulo4"/>
      </w:pPr>
      <w:bookmarkStart w:id="69" w:name="_Toc309145197"/>
      <w:r>
        <w:t>4.2.9 Caducidad de Convenios suscritos con Contribuyentes</w:t>
      </w:r>
      <w:bookmarkEnd w:id="69"/>
    </w:p>
    <w:p w:rsidR="0066025F" w:rsidRDefault="0066025F">
      <w:pPr>
        <w:pStyle w:val="Textoindependiente"/>
        <w:widowControl w:val="0"/>
        <w:spacing w:after="0" w:line="360" w:lineRule="auto"/>
      </w:pPr>
      <w:r>
        <w:t>La Intendencia debe establecer los procedimientos informáticos adecuados para cumplir con los términos de caducidad dispuestos en las diferentes modalidades de convenios previstas en la normativa vigente, a efectos de realizar, en forma regular y sistemática, la anulación de los convenios, por incumplimiento en el pago de cuotas, ya que los procedimientos manuales que ha venido utilizando, no resultan suficientes.</w:t>
      </w:r>
    </w:p>
    <w:p w:rsidR="0066025F" w:rsidRDefault="0066025F">
      <w:pPr>
        <w:pStyle w:val="Ttulo4"/>
      </w:pPr>
      <w:bookmarkStart w:id="70" w:name="_Toc309145198"/>
      <w:r>
        <w:t>4.2.10  Liquidación de haberes</w:t>
      </w:r>
      <w:bookmarkEnd w:id="70"/>
    </w:p>
    <w:p w:rsidR="0066025F" w:rsidRDefault="0066025F">
      <w:pPr>
        <w:pStyle w:val="Textoindependiente"/>
        <w:widowControl w:val="0"/>
        <w:spacing w:after="0" w:line="360" w:lineRule="auto"/>
        <w:rPr>
          <w:lang w:val="es-ES"/>
        </w:rPr>
      </w:pPr>
      <w:r>
        <w:rPr>
          <w:lang w:val="es-ES"/>
        </w:rPr>
        <w:t>Los funcionarios de Liquidación de Haberes no deben tener acceso a los módulos de “legajos” y “licencias” del sistema de administración de personal para efectuar modificaciones en los registros.</w:t>
      </w:r>
    </w:p>
    <w:p w:rsidR="0066025F" w:rsidRDefault="0066025F">
      <w:pPr>
        <w:pStyle w:val="Ttulo4"/>
      </w:pPr>
      <w:bookmarkStart w:id="71" w:name="_Toc309145199"/>
      <w:r>
        <w:t>4.2.11 Control Interno</w:t>
      </w:r>
      <w:bookmarkEnd w:id="71"/>
    </w:p>
    <w:p w:rsidR="0066025F" w:rsidRDefault="0066025F">
      <w:pPr>
        <w:pStyle w:val="Textoindependiente"/>
        <w:widowControl w:val="0"/>
        <w:spacing w:after="0" w:line="360" w:lineRule="auto"/>
      </w:pPr>
      <w:r>
        <w:t>De acuerdo a principios de buena administración, los procedimientos y liquidaciones practicadas por personal de un sector deben ser necesariamente revisados y controlados por funcionarios de otro sector con diferente dependencia jerárquica. En particular, las liquidaciones de haberes deben ser sometidas a procesos de revisión por parte de personal de Contaduría y, periódicamente, por Auditoría Interna.</w:t>
      </w:r>
    </w:p>
    <w:p w:rsidR="0066025F" w:rsidRDefault="0066025F">
      <w:pPr>
        <w:pStyle w:val="Ttulo4"/>
      </w:pPr>
      <w:bookmarkStart w:id="72" w:name="_Toc309145200"/>
      <w:r>
        <w:t>4.2.12  Compras sin solicitud previa</w:t>
      </w:r>
      <w:bookmarkEnd w:id="72"/>
    </w:p>
    <w:p w:rsidR="0066025F" w:rsidRDefault="0066025F">
      <w:pPr>
        <w:pStyle w:val="Textoindependiente"/>
        <w:widowControl w:val="0"/>
        <w:spacing w:after="0" w:line="360" w:lineRule="auto"/>
        <w:rPr>
          <w:lang w:val="es-ES"/>
        </w:rPr>
      </w:pPr>
      <w:r>
        <w:rPr>
          <w:lang w:val="es-ES"/>
        </w:rPr>
        <w:t>Se recomienda mantener un seguimiento permanente sobre las solicitudes de compra a efectos de identificar posibles duplicaciones.</w:t>
      </w:r>
    </w:p>
    <w:p w:rsidR="0066025F" w:rsidRDefault="0066025F">
      <w:pPr>
        <w:pStyle w:val="Ttulo4"/>
      </w:pPr>
      <w:bookmarkStart w:id="73" w:name="_Toc309145202"/>
      <w:r>
        <w:t>4.2.13 Fondos Indisponibles</w:t>
      </w:r>
      <w:bookmarkEnd w:id="73"/>
    </w:p>
    <w:p w:rsidR="0066025F" w:rsidRDefault="0066025F">
      <w:pPr>
        <w:pStyle w:val="Textoindependiente"/>
        <w:widowControl w:val="0"/>
        <w:spacing w:after="0" w:line="360" w:lineRule="auto"/>
        <w:rPr>
          <w:lang w:val="es-ES"/>
        </w:rPr>
      </w:pPr>
      <w:r>
        <w:rPr>
          <w:lang w:val="es-ES"/>
        </w:rPr>
        <w:t>Los Fondos Indisponibles deben ser vertidos en tiempo y forma a sus destinatarios.</w:t>
      </w:r>
    </w:p>
    <w:p w:rsidR="0066025F" w:rsidRDefault="0066025F">
      <w:pPr>
        <w:pStyle w:val="Ttulo4"/>
      </w:pPr>
      <w:bookmarkStart w:id="74" w:name="_Toc309145205"/>
      <w:bookmarkEnd w:id="67"/>
      <w:r>
        <w:t>4.2.14  Disponibilidades</w:t>
      </w:r>
      <w:bookmarkEnd w:id="74"/>
    </w:p>
    <w:p w:rsidR="0066025F" w:rsidRDefault="0066025F">
      <w:pPr>
        <w:pStyle w:val="Textoindependiente"/>
        <w:widowControl w:val="0"/>
        <w:spacing w:after="0" w:line="360" w:lineRule="auto"/>
        <w:rPr>
          <w:lang w:val="es-ES"/>
        </w:rPr>
      </w:pPr>
      <w:r>
        <w:rPr>
          <w:lang w:val="es-ES"/>
        </w:rPr>
        <w:t>Se deberá reglamentar el funcionamiento de todos los Fondos Fijos.</w:t>
      </w:r>
    </w:p>
    <w:p w:rsidR="0066025F" w:rsidRDefault="0066025F">
      <w:pPr>
        <w:pStyle w:val="Ttulo4"/>
      </w:pPr>
      <w:bookmarkStart w:id="75" w:name="_Toc309145207"/>
      <w:r>
        <w:t>4.2.15  Auditoría informática</w:t>
      </w:r>
      <w:bookmarkEnd w:id="75"/>
    </w:p>
    <w:p w:rsidR="0066025F" w:rsidRDefault="0066025F">
      <w:pPr>
        <w:pStyle w:val="Textoindependiente"/>
        <w:widowControl w:val="0"/>
        <w:spacing w:after="0" w:line="360" w:lineRule="auto"/>
        <w:rPr>
          <w:lang w:val="es-ES"/>
        </w:rPr>
      </w:pPr>
      <w:r>
        <w:rPr>
          <w:lang w:val="es-ES"/>
        </w:rPr>
        <w:t>Se sugiere la realización de una auditoría a la División Informática debido a que la misma no ha sido objeto de contralor externo.</w:t>
      </w:r>
    </w:p>
    <w:p w:rsidR="0066025F" w:rsidRDefault="0066025F">
      <w:pPr>
        <w:pStyle w:val="Ttulo4"/>
      </w:pPr>
      <w:bookmarkStart w:id="76" w:name="_Toc309145203"/>
      <w:r>
        <w:t>4.2.16 Deuda con la Junta Departamental de Rivera a financiar</w:t>
      </w:r>
    </w:p>
    <w:p w:rsidR="0066025F" w:rsidRDefault="0066025F">
      <w:pPr>
        <w:spacing w:line="360" w:lineRule="auto"/>
        <w:jc w:val="both"/>
        <w:rPr>
          <w:lang w:val="es-MX"/>
        </w:rPr>
      </w:pPr>
      <w:r>
        <w:rPr>
          <w:lang w:val="es-MX"/>
        </w:rPr>
        <w:t>Se deberá realizar los ajustes necesarios a efectos de que el saldo contable represente el monto a financiar por la Intendencia a la Junta Departamental.</w:t>
      </w:r>
    </w:p>
    <w:p w:rsidR="0066025F" w:rsidRDefault="0066025F">
      <w:pPr>
        <w:pStyle w:val="Ttulo4"/>
      </w:pPr>
      <w:r>
        <w:t>4.2.17 Resultado acumulado</w:t>
      </w:r>
    </w:p>
    <w:p w:rsidR="0066025F" w:rsidRDefault="0066025F">
      <w:pPr>
        <w:pStyle w:val="Textoindependiente"/>
        <w:spacing w:after="0" w:line="360" w:lineRule="auto"/>
        <w:rPr>
          <w:lang w:val="es-MX" w:eastAsia="ar-SA"/>
        </w:rPr>
      </w:pPr>
      <w:r>
        <w:rPr>
          <w:bCs/>
          <w:kern w:val="0"/>
          <w:lang w:val="es-ES"/>
        </w:rPr>
        <w:t>E</w:t>
      </w:r>
      <w:r>
        <w:rPr>
          <w:bCs/>
          <w:kern w:val="0"/>
        </w:rPr>
        <w:t>n el Estado correspondiente se deberá discriminar “</w:t>
      </w:r>
      <w:proofErr w:type="spellStart"/>
      <w:r>
        <w:rPr>
          <w:bCs/>
          <w:kern w:val="0"/>
        </w:rPr>
        <w:t>Extrapresupuesto</w:t>
      </w:r>
      <w:proofErr w:type="spellEnd"/>
      <w:r>
        <w:rPr>
          <w:bCs/>
          <w:kern w:val="0"/>
        </w:rPr>
        <w:t xml:space="preserve"> a cobrar” y “</w:t>
      </w:r>
      <w:proofErr w:type="spellStart"/>
      <w:r>
        <w:rPr>
          <w:bCs/>
          <w:kern w:val="0"/>
        </w:rPr>
        <w:t>Extrapresupuesto</w:t>
      </w:r>
      <w:proofErr w:type="spellEnd"/>
      <w:r>
        <w:rPr>
          <w:bCs/>
          <w:kern w:val="0"/>
        </w:rPr>
        <w:t xml:space="preserve"> a pagar”, exponiéndolos como Activo y Pasivo respectivamente.</w:t>
      </w:r>
    </w:p>
    <w:p w:rsidR="0066025F" w:rsidRDefault="0066025F">
      <w:pPr>
        <w:pStyle w:val="Ttulo4"/>
      </w:pPr>
      <w:r>
        <w:t xml:space="preserve">4.2.18 Partidas de </w:t>
      </w:r>
      <w:proofErr w:type="spellStart"/>
      <w:r>
        <w:t>Extrapresupuesto</w:t>
      </w:r>
      <w:proofErr w:type="spellEnd"/>
    </w:p>
    <w:p w:rsidR="0066025F" w:rsidRDefault="0066025F">
      <w:pPr>
        <w:pStyle w:val="Textoindependiente"/>
        <w:widowControl w:val="0"/>
        <w:spacing w:after="0" w:line="360" w:lineRule="auto"/>
      </w:pPr>
      <w:r>
        <w:t>Se deberán realizar los ajustes que correspondan en relación a las partidas que se exponen en el estado del extrapresupuesto que no afecta resultados, por un valor de $ 111.354 correspondientes a “faltantes de caja” originados en los Ejercicios 2003 y 2009.</w:t>
      </w:r>
    </w:p>
    <w:p w:rsidR="0066025F" w:rsidRDefault="0066025F"/>
    <w:p w:rsidR="0066025F" w:rsidRDefault="0066025F">
      <w:pPr>
        <w:pStyle w:val="Ttulo3"/>
      </w:pPr>
      <w:bookmarkStart w:id="77" w:name="_Toc404774788"/>
      <w:r>
        <w:t>4.3 Recomendaciones del ejercicio</w:t>
      </w:r>
      <w:bookmarkEnd w:id="76"/>
      <w:bookmarkEnd w:id="77"/>
    </w:p>
    <w:p w:rsidR="0066025F" w:rsidRDefault="0066025F">
      <w:pPr>
        <w:pStyle w:val="Textoindependiente"/>
        <w:spacing w:after="0" w:line="360" w:lineRule="auto"/>
        <w:rPr>
          <w:kern w:val="0"/>
          <w:lang w:val="es-ES"/>
        </w:rPr>
      </w:pPr>
      <w:r>
        <w:rPr>
          <w:kern w:val="0"/>
          <w:lang w:val="es-ES"/>
        </w:rPr>
        <w:t xml:space="preserve">Se reiteran las recomendaciones señaladas en el numeral 3.4.2. </w:t>
      </w:r>
      <w:proofErr w:type="gramStart"/>
      <w:r>
        <w:rPr>
          <w:kern w:val="0"/>
          <w:lang w:val="es-ES"/>
        </w:rPr>
        <w:t>y</w:t>
      </w:r>
      <w:proofErr w:type="gramEnd"/>
      <w:r>
        <w:rPr>
          <w:kern w:val="0"/>
          <w:lang w:val="es-ES"/>
        </w:rPr>
        <w:t xml:space="preserve"> se agregan las siguientes:</w:t>
      </w:r>
    </w:p>
    <w:p w:rsidR="0066025F" w:rsidRDefault="0066025F">
      <w:pPr>
        <w:pStyle w:val="Ttulo4"/>
      </w:pPr>
    </w:p>
    <w:p w:rsidR="0066025F" w:rsidRDefault="0066025F">
      <w:pPr>
        <w:pStyle w:val="Ttulo4"/>
      </w:pPr>
      <w:r>
        <w:t>4.3.1 Resultado acumulado</w:t>
      </w:r>
    </w:p>
    <w:p w:rsidR="0066025F" w:rsidRDefault="0066025F">
      <w:pPr>
        <w:spacing w:line="360" w:lineRule="auto"/>
      </w:pPr>
      <w:r>
        <w:t xml:space="preserve">Se deberá realizar el ajuste indicado en el numeral 3.1.1. </w:t>
      </w:r>
      <w:proofErr w:type="gramStart"/>
      <w:r>
        <w:t>y</w:t>
      </w:r>
      <w:proofErr w:type="gramEnd"/>
      <w:r>
        <w:t xml:space="preserve"> denominar el estado correspondiente en forma correcta.</w:t>
      </w:r>
    </w:p>
    <w:p w:rsidR="0066025F" w:rsidRDefault="0066025F" w:rsidP="0066025F">
      <w:pPr>
        <w:pStyle w:val="Ttulo4"/>
      </w:pPr>
      <w:r>
        <w:t xml:space="preserve">4.3.2 </w:t>
      </w:r>
      <w:r>
        <w:rPr>
          <w:rFonts w:cs="Arial"/>
          <w:szCs w:val="24"/>
        </w:rPr>
        <w:t>Estado de Trasposiciones e Indexaciones</w:t>
      </w:r>
    </w:p>
    <w:p w:rsidR="0066025F" w:rsidRDefault="0066025F" w:rsidP="0066025F">
      <w:pPr>
        <w:spacing w:line="360" w:lineRule="auto"/>
        <w:jc w:val="both"/>
      </w:pPr>
      <w:r>
        <w:t>En el Estado de Trasposiciones e Indexaciones se deberán discriminar las trasposiciones e indexaciones de acuerdo a lo establecido en el instructivo aprobado por Resolución del Tribunal de Cuentas de fecha 28/01/04.</w:t>
      </w:r>
    </w:p>
    <w:p w:rsidR="0066025F" w:rsidRDefault="0066025F">
      <w:pPr>
        <w:pStyle w:val="Ttulo4"/>
        <w:rPr>
          <w:rFonts w:cs="Arial"/>
          <w:szCs w:val="24"/>
        </w:rPr>
      </w:pPr>
      <w:r>
        <w:t xml:space="preserve">4.3.3 </w:t>
      </w:r>
      <w:r>
        <w:rPr>
          <w:rFonts w:cs="Arial"/>
          <w:szCs w:val="24"/>
        </w:rPr>
        <w:t>Estado de Compromisos de Inversión no ejecutados al cierre del ejercicio</w:t>
      </w:r>
    </w:p>
    <w:p w:rsidR="0066025F" w:rsidRDefault="0066025F">
      <w:pPr>
        <w:spacing w:line="360" w:lineRule="auto"/>
        <w:jc w:val="both"/>
      </w:pPr>
      <w:r>
        <w:t>La Intendencia deberá presentar el estado de Compromisos de Inversión no ejecutados al cierre del ejercicio, de acuerdo a lo establecido en el instructivo aprobado por Resolución del Tribunal de Cuentas de fecha 28/01/04.</w:t>
      </w:r>
    </w:p>
    <w:p w:rsidR="0066025F" w:rsidRDefault="0066025F">
      <w:pPr>
        <w:pStyle w:val="Ttulo4"/>
        <w:rPr>
          <w:rFonts w:cs="Arial"/>
          <w:szCs w:val="24"/>
        </w:rPr>
      </w:pPr>
      <w:r>
        <w:t xml:space="preserve">4.3.4 </w:t>
      </w:r>
      <w:r>
        <w:rPr>
          <w:rFonts w:cs="Arial"/>
          <w:szCs w:val="24"/>
        </w:rPr>
        <w:t>Fondos de Garantía</w:t>
      </w:r>
    </w:p>
    <w:p w:rsidR="0066025F" w:rsidRDefault="0066025F">
      <w:pPr>
        <w:spacing w:line="360" w:lineRule="auto"/>
        <w:jc w:val="both"/>
      </w:pPr>
      <w:r>
        <w:t>Estos fondos deberán ser reclasificados en virtud de que no revisten la calidad de fondos indisponibles.</w:t>
      </w:r>
    </w:p>
    <w:p w:rsidR="0066025F" w:rsidRDefault="0066025F">
      <w:pPr>
        <w:widowControl w:val="0"/>
        <w:spacing w:line="360" w:lineRule="auto"/>
        <w:jc w:val="right"/>
        <w:rPr>
          <w:color w:val="FF0000"/>
        </w:rPr>
      </w:pPr>
      <w:r>
        <w:t xml:space="preserve">Montevideo, 7 de noviembre de </w:t>
      </w:r>
      <w:bookmarkEnd w:id="18"/>
      <w:r>
        <w:t>2014</w:t>
      </w:r>
    </w:p>
    <w:p w:rsidR="0066025F" w:rsidRDefault="0066025F" w:rsidP="0066025F">
      <w:pPr>
        <w:widowControl w:val="0"/>
        <w:spacing w:line="360" w:lineRule="auto"/>
        <w:ind w:hanging="284"/>
      </w:pPr>
      <w:proofErr w:type="gramStart"/>
      <w:r>
        <w:t>dc</w:t>
      </w:r>
      <w:proofErr w:type="gramEnd"/>
    </w:p>
    <w:sectPr w:rsidR="0066025F" w:rsidSect="00876707">
      <w:headerReference w:type="default" r:id="rId8"/>
      <w:footerReference w:type="default" r:id="rId9"/>
      <w:pgSz w:w="11906" w:h="16838" w:code="9"/>
      <w:pgMar w:top="3402" w:right="1701" w:bottom="1701" w:left="1701" w:header="720" w:footer="720" w:gutter="0"/>
      <w:paperSrc w:first="4" w:other="4"/>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543" w:rsidRDefault="00CA7543">
      <w:pPr>
        <w:rPr>
          <w:rFonts w:ascii="Times New Roman" w:hAnsi="Times New Roman" w:cs="Times New Roman"/>
        </w:rPr>
      </w:pPr>
      <w:r>
        <w:rPr>
          <w:rFonts w:ascii="Times New Roman" w:hAnsi="Times New Roman" w:cs="Times New Roman"/>
        </w:rPr>
        <w:separator/>
      </w:r>
    </w:p>
  </w:endnote>
  <w:endnote w:type="continuationSeparator" w:id="0">
    <w:p w:rsidR="00CA7543" w:rsidRDefault="00CA754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43" w:rsidRDefault="00CA7543">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12A1">
      <w:rPr>
        <w:rStyle w:val="Nmerodepgina"/>
        <w:noProof/>
      </w:rPr>
      <w:t>15</w:t>
    </w:r>
    <w:r>
      <w:rPr>
        <w:rStyle w:val="Nmerodepgina"/>
      </w:rPr>
      <w:fldChar w:fldCharType="end"/>
    </w:r>
  </w:p>
  <w:p w:rsidR="00CA7543" w:rsidRDefault="00CA7543">
    <w:pPr>
      <w:framePr w:wrap="auto" w:vAnchor="text" w:hAnchor="margin" w:xAlign="right" w:y="1"/>
      <w:rPr>
        <w:rFonts w:ascii="Times New Roman" w:hAnsi="Times New Roman" w:cs="Times New Roman"/>
      </w:rPr>
    </w:pPr>
  </w:p>
  <w:p w:rsidR="00CA7543" w:rsidRDefault="00CA7543">
    <w:pPr>
      <w:ind w:right="360"/>
      <w:rPr>
        <w:rFonts w:ascii="Times New Roman" w:hAnsi="Times New Roman" w:cs="Times New Roman"/>
      </w:rPr>
    </w:pPr>
    <w:r>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543" w:rsidRDefault="00CA7543">
      <w:pPr>
        <w:rPr>
          <w:rFonts w:ascii="Times New Roman" w:hAnsi="Times New Roman" w:cs="Times New Roman"/>
        </w:rPr>
      </w:pPr>
      <w:r>
        <w:rPr>
          <w:rFonts w:ascii="Times New Roman" w:hAnsi="Times New Roman" w:cs="Times New Roman"/>
        </w:rPr>
        <w:separator/>
      </w:r>
    </w:p>
  </w:footnote>
  <w:footnote w:type="continuationSeparator" w:id="0">
    <w:p w:rsidR="00CA7543" w:rsidRDefault="00CA7543">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43" w:rsidRDefault="00CA7543">
    <w:pPr>
      <w:rPr>
        <w:rFonts w:ascii="Times New Roman" w:hAnsi="Times New Roman" w:cs="Times New Roman"/>
      </w:rPr>
    </w:pPr>
    <w:r>
      <w:rPr>
        <w:rFonts w:ascii="Times New Roman" w:hAnsi="Times New Roman" w:cs="Times New Roman"/>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2F464076"/>
    <w:multiLevelType w:val="singleLevel"/>
    <w:tmpl w:val="8876B1DC"/>
    <w:lvl w:ilvl="0">
      <w:start w:val="1"/>
      <w:numFmt w:val="decimal"/>
      <w:lvlText w:val="%1)"/>
      <w:lvlJc w:val="left"/>
      <w:pPr>
        <w:tabs>
          <w:tab w:val="num" w:pos="360"/>
        </w:tabs>
        <w:ind w:left="360" w:hanging="360"/>
      </w:pPr>
      <w:rPr>
        <w:rFonts w:ascii="Arial" w:hAnsi="Arial" w:cs="Arial" w:hint="default"/>
        <w:b/>
        <w:bCs/>
      </w:rPr>
    </w:lvl>
  </w:abstractNum>
  <w:abstractNum w:abstractNumId="2">
    <w:nsid w:val="6F3C0E8E"/>
    <w:multiLevelType w:val="hybridMultilevel"/>
    <w:tmpl w:val="260C02D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0E0"/>
    <w:rsid w:val="001212A1"/>
    <w:rsid w:val="001610E0"/>
    <w:rsid w:val="003B1B1C"/>
    <w:rsid w:val="004F5113"/>
    <w:rsid w:val="0066025F"/>
    <w:rsid w:val="0068743C"/>
    <w:rsid w:val="00876707"/>
    <w:rsid w:val="00B23EEF"/>
    <w:rsid w:val="00BA446F"/>
    <w:rsid w:val="00C558A8"/>
    <w:rsid w:val="00CA7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iPriority="0" w:unhideWhenUsed="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qFormat/>
    <w:rsid w:val="0066025F"/>
    <w:pPr>
      <w:spacing w:after="180" w:line="360" w:lineRule="auto"/>
      <w:outlineLvl w:val="0"/>
    </w:pPr>
    <w:rPr>
      <w:rFonts w:eastAsia="Times New Roman" w:cs="Times New Roman"/>
      <w:b/>
      <w:caps/>
      <w:kern w:val="18"/>
      <w:szCs w:val="20"/>
    </w:rPr>
  </w:style>
  <w:style w:type="paragraph" w:styleId="Ttulo2">
    <w:name w:val="heading 2"/>
    <w:basedOn w:val="Normal"/>
    <w:next w:val="Textoindependiente"/>
    <w:link w:val="Ttulo2Car"/>
    <w:qFormat/>
    <w:rsid w:val="0066025F"/>
    <w:pPr>
      <w:widowControl w:val="0"/>
      <w:spacing w:line="360" w:lineRule="auto"/>
      <w:outlineLvl w:val="1"/>
    </w:pPr>
    <w:rPr>
      <w:rFonts w:eastAsia="Times New Roman" w:cs="Times New Roman"/>
      <w:b/>
      <w:smallCaps/>
      <w:kern w:val="18"/>
      <w:szCs w:val="20"/>
    </w:rPr>
  </w:style>
  <w:style w:type="paragraph" w:styleId="Ttulo3">
    <w:name w:val="heading 3"/>
    <w:basedOn w:val="Normal"/>
    <w:next w:val="Normal"/>
    <w:link w:val="Ttulo3Car"/>
    <w:qFormat/>
    <w:rsid w:val="0066025F"/>
    <w:pPr>
      <w:keepNext/>
      <w:spacing w:line="360" w:lineRule="auto"/>
      <w:outlineLvl w:val="2"/>
    </w:pPr>
    <w:rPr>
      <w:rFonts w:eastAsia="Times New Roman" w:cs="Times New Roman"/>
      <w:b/>
      <w:bCs/>
      <w:i/>
      <w:iCs/>
      <w:szCs w:val="20"/>
    </w:rPr>
  </w:style>
  <w:style w:type="paragraph" w:styleId="Ttulo4">
    <w:name w:val="heading 4"/>
    <w:basedOn w:val="Normal"/>
    <w:next w:val="Normal"/>
    <w:link w:val="Ttulo4Car"/>
    <w:qFormat/>
    <w:rsid w:val="0066025F"/>
    <w:pPr>
      <w:keepNext/>
      <w:spacing w:line="360" w:lineRule="auto"/>
      <w:outlineLvl w:val="3"/>
    </w:pPr>
    <w:rPr>
      <w:rFonts w:eastAsia="Times New Roman" w:cs="Times New Roman"/>
      <w:b/>
      <w:i/>
      <w:iCs/>
      <w:szCs w:val="20"/>
    </w:rPr>
  </w:style>
  <w:style w:type="paragraph" w:styleId="Ttulo5">
    <w:name w:val="heading 5"/>
    <w:basedOn w:val="Normal"/>
    <w:next w:val="Normal"/>
    <w:link w:val="Ttulo5Car"/>
    <w:uiPriority w:val="99"/>
    <w:qFormat/>
    <w:pPr>
      <w:keepNext/>
      <w:widowControl w:val="0"/>
      <w:suppressAutoHyphens/>
      <w:outlineLvl w:val="4"/>
    </w:pPr>
    <w:rPr>
      <w:rFonts w:ascii="Bookman Old Style" w:hAnsi="Bookman Old Style" w:cs="Bookman Old Style"/>
      <w:b/>
      <w:bCs/>
      <w:lang w:val="es-ES_tradnl"/>
    </w:rPr>
  </w:style>
  <w:style w:type="paragraph" w:styleId="Ttulo6">
    <w:name w:val="heading 6"/>
    <w:basedOn w:val="Normal"/>
    <w:next w:val="Normal"/>
    <w:link w:val="Ttulo6Car"/>
    <w:uiPriority w:val="99"/>
    <w:qFormat/>
    <w:pPr>
      <w:keepNext/>
      <w:spacing w:line="360" w:lineRule="auto"/>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9"/>
    <w:rPr>
      <w:rFonts w:ascii="Bookman Old Style" w:hAnsi="Bookman Old Style" w:cs="Bookman Old Style"/>
      <w:b/>
      <w:bCs/>
      <w:snapToGrid w:val="0"/>
      <w:sz w:val="20"/>
      <w:szCs w:val="20"/>
      <w:lang w:val="es-ES_tradnl" w:eastAsia="es-ES"/>
    </w:rPr>
  </w:style>
  <w:style w:type="character" w:customStyle="1" w:styleId="Ttulo6Car">
    <w:name w:val="Título 6 Car"/>
    <w:basedOn w:val="Fuentedeprrafopredeter"/>
    <w:link w:val="Ttulo6"/>
    <w:uiPriority w:val="99"/>
    <w:rPr>
      <w:rFonts w:ascii="Arial" w:hAnsi="Arial" w:cs="Arial"/>
      <w:b/>
      <w:bCs/>
      <w:sz w:val="20"/>
      <w:szCs w:val="20"/>
      <w:lang w:eastAsia="es-ES"/>
    </w:rPr>
  </w:style>
  <w:style w:type="paragraph" w:styleId="Textoindependiente">
    <w:name w:val="Body Text"/>
    <w:basedOn w:val="Normal"/>
    <w:link w:val="TextoindependienteCar"/>
    <w:pPr>
      <w:spacing w:after="240" w:line="240" w:lineRule="atLeast"/>
      <w:jc w:val="both"/>
    </w:pPr>
    <w:rPr>
      <w:kern w:val="18"/>
      <w:lang w:val="es-ES_tradnl"/>
    </w:rPr>
  </w:style>
  <w:style w:type="character" w:customStyle="1" w:styleId="TextoindependienteCar">
    <w:name w:val="Texto independiente Car"/>
    <w:basedOn w:val="Fuentedeprrafopredeter"/>
    <w:link w:val="Textoindependiente"/>
    <w:rPr>
      <w:rFonts w:ascii="Arial" w:hAnsi="Arial" w:cs="Arial"/>
      <w:kern w:val="18"/>
      <w:sz w:val="20"/>
      <w:szCs w:val="20"/>
      <w:lang w:val="es-ES_tradnl" w:eastAsia="es-ES"/>
    </w:rPr>
  </w:style>
  <w:style w:type="character" w:styleId="Nmerodepgina">
    <w:name w:val="page number"/>
    <w:basedOn w:val="Fuentedeprrafopredeter"/>
    <w:uiPriority w:val="99"/>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uiPriority w:val="99"/>
    <w:rPr>
      <w:rFonts w:ascii="Arial" w:hAnsi="Arial" w:cs="Arial"/>
      <w:kern w:val="18"/>
      <w:sz w:val="20"/>
      <w:szCs w:val="20"/>
      <w:lang w:val="es-ES_tradnl"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basedOn w:val="Fuentedeprrafopredeter"/>
    <w:link w:val="Encabezado"/>
    <w:uiPriority w:val="99"/>
    <w:rPr>
      <w:rFonts w:ascii="Arial" w:hAnsi="Arial" w:cs="Arial"/>
      <w:sz w:val="20"/>
      <w:szCs w:val="20"/>
      <w:lang w:eastAsia="es-ES"/>
    </w:rPr>
  </w:style>
  <w:style w:type="paragraph" w:styleId="Subttulo">
    <w:name w:val="Subtitle"/>
    <w:basedOn w:val="Normal"/>
    <w:link w:val="SubttuloCar"/>
    <w:qFormat/>
    <w:rsid w:val="0066025F"/>
    <w:pPr>
      <w:spacing w:line="360" w:lineRule="auto"/>
      <w:jc w:val="both"/>
    </w:pPr>
    <w:rPr>
      <w:rFonts w:ascii="Bookman Old Style" w:eastAsia="Times New Roman" w:hAnsi="Bookman Old Style" w:cs="Times New Roman"/>
      <w:b/>
      <w:kern w:val="18"/>
      <w:szCs w:val="20"/>
    </w:rPr>
  </w:style>
  <w:style w:type="character" w:customStyle="1" w:styleId="SubttuloCar">
    <w:name w:val="Subtítulo Car"/>
    <w:basedOn w:val="Fuentedeprrafopredeter"/>
    <w:link w:val="Subttulo"/>
    <w:rsid w:val="0066025F"/>
    <w:rPr>
      <w:rFonts w:ascii="Bookman Old Style" w:eastAsia="Times New Roman" w:hAnsi="Bookman Old Style" w:cs="Times New Roman"/>
      <w:b/>
      <w:kern w:val="18"/>
      <w:sz w:val="24"/>
      <w:szCs w:val="20"/>
    </w:rPr>
  </w:style>
  <w:style w:type="paragraph" w:customStyle="1" w:styleId="Nombredireccin">
    <w:name w:val="Nombre dirección"/>
    <w:basedOn w:val="Normal"/>
    <w:next w:val="Normal"/>
    <w:rsid w:val="0066025F"/>
    <w:pPr>
      <w:spacing w:before="220" w:line="240" w:lineRule="atLeast"/>
      <w:jc w:val="both"/>
    </w:pPr>
    <w:rPr>
      <w:rFonts w:eastAsia="Times New Roman" w:cs="Times New Roman"/>
      <w:kern w:val="18"/>
      <w:szCs w:val="20"/>
    </w:rPr>
  </w:style>
  <w:style w:type="paragraph" w:customStyle="1" w:styleId="Ttulo-base">
    <w:name w:val="Título - base"/>
    <w:basedOn w:val="Textoindependiente"/>
    <w:next w:val="Textoindependiente"/>
    <w:rsid w:val="0066025F"/>
    <w:pPr>
      <w:keepNext/>
      <w:keepLines/>
      <w:spacing w:after="0"/>
      <w:jc w:val="left"/>
    </w:pPr>
    <w:rPr>
      <w:rFonts w:eastAsia="Times New Roman" w:cs="Times New Roman"/>
      <w:kern w:val="20"/>
      <w:szCs w:val="20"/>
    </w:rPr>
  </w:style>
  <w:style w:type="paragraph" w:styleId="Textoindependiente2">
    <w:name w:val="Body Text 2"/>
    <w:basedOn w:val="Normal"/>
    <w:link w:val="Textoindependiente2Car"/>
    <w:semiHidden/>
    <w:rsid w:val="0066025F"/>
    <w:pPr>
      <w:spacing w:line="360" w:lineRule="auto"/>
    </w:pPr>
    <w:rPr>
      <w:rFonts w:ascii="Bookman Old Style" w:eastAsia="Times New Roman" w:hAnsi="Bookman Old Style" w:cs="Times New Roman"/>
      <w:kern w:val="18"/>
      <w:szCs w:val="20"/>
    </w:rPr>
  </w:style>
  <w:style w:type="character" w:customStyle="1" w:styleId="Textoindependiente2Car">
    <w:name w:val="Texto independiente 2 Car"/>
    <w:basedOn w:val="Fuentedeprrafopredeter"/>
    <w:link w:val="Textoindependiente2"/>
    <w:semiHidden/>
    <w:rsid w:val="0066025F"/>
    <w:rPr>
      <w:rFonts w:ascii="Bookman Old Style" w:eastAsia="Times New Roman" w:hAnsi="Bookman Old Style" w:cs="Times New Roman"/>
      <w:kern w:val="18"/>
      <w:sz w:val="24"/>
      <w:szCs w:val="20"/>
    </w:rPr>
  </w:style>
  <w:style w:type="paragraph" w:styleId="TDC3">
    <w:name w:val="toc 3"/>
    <w:basedOn w:val="Normal"/>
    <w:next w:val="Normal"/>
    <w:autoRedefine/>
    <w:semiHidden/>
    <w:rsid w:val="0066025F"/>
    <w:pPr>
      <w:tabs>
        <w:tab w:val="right" w:leader="dot" w:pos="8494"/>
      </w:tabs>
      <w:jc w:val="center"/>
    </w:pPr>
    <w:rPr>
      <w:rFonts w:eastAsia="Times New Roman" w:cs="Times New Roman"/>
      <w:b/>
      <w:kern w:val="18"/>
      <w:szCs w:val="20"/>
    </w:rPr>
  </w:style>
  <w:style w:type="paragraph" w:styleId="Sangradetextonormal">
    <w:name w:val="Body Text Indent"/>
    <w:basedOn w:val="Normal"/>
    <w:link w:val="SangradetextonormalCar"/>
    <w:semiHidden/>
    <w:rsid w:val="0066025F"/>
    <w:pPr>
      <w:widowControl w:val="0"/>
      <w:suppressAutoHyphens/>
      <w:spacing w:line="360" w:lineRule="auto"/>
      <w:ind w:firstLine="709"/>
      <w:jc w:val="both"/>
    </w:pPr>
    <w:rPr>
      <w:rFonts w:ascii="Times New Roman" w:eastAsia="Lucida Sans Unicode" w:hAnsi="Times New Roman" w:cs="Times New Roman"/>
      <w:lang w:val="es-ES_tradnl"/>
    </w:rPr>
  </w:style>
  <w:style w:type="character" w:customStyle="1" w:styleId="SangradetextonormalCar">
    <w:name w:val="Sangría de texto normal Car"/>
    <w:basedOn w:val="Fuentedeprrafopredeter"/>
    <w:link w:val="Sangradetextonormal"/>
    <w:semiHidden/>
    <w:rsid w:val="0066025F"/>
    <w:rPr>
      <w:rFonts w:ascii="Times New Roman" w:eastAsia="Lucida Sans Unicode" w:hAnsi="Times New Roman" w:cs="Times New Roman"/>
      <w:sz w:val="24"/>
      <w:szCs w:val="24"/>
      <w:lang w:val="es-ES_tradnl"/>
    </w:rPr>
  </w:style>
  <w:style w:type="character" w:customStyle="1" w:styleId="Ttulo1Car">
    <w:name w:val="Título 1 Car"/>
    <w:basedOn w:val="Fuentedeprrafopredeter"/>
    <w:link w:val="Ttulo1"/>
    <w:rsid w:val="0066025F"/>
    <w:rPr>
      <w:rFonts w:ascii="Arial" w:eastAsia="Times New Roman" w:hAnsi="Arial" w:cs="Times New Roman"/>
      <w:b/>
      <w:caps/>
      <w:kern w:val="18"/>
      <w:sz w:val="24"/>
      <w:szCs w:val="20"/>
    </w:rPr>
  </w:style>
  <w:style w:type="character" w:customStyle="1" w:styleId="Ttulo2Car">
    <w:name w:val="Título 2 Car"/>
    <w:basedOn w:val="Fuentedeprrafopredeter"/>
    <w:link w:val="Ttulo2"/>
    <w:rsid w:val="0066025F"/>
    <w:rPr>
      <w:rFonts w:ascii="Arial" w:eastAsia="Times New Roman" w:hAnsi="Arial" w:cs="Times New Roman"/>
      <w:b/>
      <w:smallCaps/>
      <w:kern w:val="18"/>
      <w:sz w:val="24"/>
      <w:szCs w:val="20"/>
    </w:rPr>
  </w:style>
  <w:style w:type="character" w:customStyle="1" w:styleId="Ttulo3Car">
    <w:name w:val="Título 3 Car"/>
    <w:basedOn w:val="Fuentedeprrafopredeter"/>
    <w:link w:val="Ttulo3"/>
    <w:rsid w:val="0066025F"/>
    <w:rPr>
      <w:rFonts w:ascii="Arial" w:eastAsia="Times New Roman" w:hAnsi="Arial" w:cs="Times New Roman"/>
      <w:b/>
      <w:bCs/>
      <w:i/>
      <w:iCs/>
      <w:sz w:val="24"/>
      <w:szCs w:val="20"/>
    </w:rPr>
  </w:style>
  <w:style w:type="character" w:customStyle="1" w:styleId="Ttulo4Car">
    <w:name w:val="Título 4 Car"/>
    <w:basedOn w:val="Fuentedeprrafopredeter"/>
    <w:link w:val="Ttulo4"/>
    <w:rsid w:val="0066025F"/>
    <w:rPr>
      <w:rFonts w:ascii="Arial" w:eastAsia="Times New Roman" w:hAnsi="Arial" w:cs="Times New Roman"/>
      <w:b/>
      <w:i/>
      <w:i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iPriority="0" w:unhideWhenUsed="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qFormat/>
    <w:rsid w:val="0066025F"/>
    <w:pPr>
      <w:spacing w:after="180" w:line="360" w:lineRule="auto"/>
      <w:outlineLvl w:val="0"/>
    </w:pPr>
    <w:rPr>
      <w:rFonts w:eastAsia="Times New Roman" w:cs="Times New Roman"/>
      <w:b/>
      <w:caps/>
      <w:kern w:val="18"/>
      <w:szCs w:val="20"/>
    </w:rPr>
  </w:style>
  <w:style w:type="paragraph" w:styleId="Ttulo2">
    <w:name w:val="heading 2"/>
    <w:basedOn w:val="Normal"/>
    <w:next w:val="Textoindependiente"/>
    <w:link w:val="Ttulo2Car"/>
    <w:qFormat/>
    <w:rsid w:val="0066025F"/>
    <w:pPr>
      <w:widowControl w:val="0"/>
      <w:spacing w:line="360" w:lineRule="auto"/>
      <w:outlineLvl w:val="1"/>
    </w:pPr>
    <w:rPr>
      <w:rFonts w:eastAsia="Times New Roman" w:cs="Times New Roman"/>
      <w:b/>
      <w:smallCaps/>
      <w:kern w:val="18"/>
      <w:szCs w:val="20"/>
    </w:rPr>
  </w:style>
  <w:style w:type="paragraph" w:styleId="Ttulo3">
    <w:name w:val="heading 3"/>
    <w:basedOn w:val="Normal"/>
    <w:next w:val="Normal"/>
    <w:link w:val="Ttulo3Car"/>
    <w:qFormat/>
    <w:rsid w:val="0066025F"/>
    <w:pPr>
      <w:keepNext/>
      <w:spacing w:line="360" w:lineRule="auto"/>
      <w:outlineLvl w:val="2"/>
    </w:pPr>
    <w:rPr>
      <w:rFonts w:eastAsia="Times New Roman" w:cs="Times New Roman"/>
      <w:b/>
      <w:bCs/>
      <w:i/>
      <w:iCs/>
      <w:szCs w:val="20"/>
    </w:rPr>
  </w:style>
  <w:style w:type="paragraph" w:styleId="Ttulo4">
    <w:name w:val="heading 4"/>
    <w:basedOn w:val="Normal"/>
    <w:next w:val="Normal"/>
    <w:link w:val="Ttulo4Car"/>
    <w:qFormat/>
    <w:rsid w:val="0066025F"/>
    <w:pPr>
      <w:keepNext/>
      <w:spacing w:line="360" w:lineRule="auto"/>
      <w:outlineLvl w:val="3"/>
    </w:pPr>
    <w:rPr>
      <w:rFonts w:eastAsia="Times New Roman" w:cs="Times New Roman"/>
      <w:b/>
      <w:i/>
      <w:iCs/>
      <w:szCs w:val="20"/>
    </w:rPr>
  </w:style>
  <w:style w:type="paragraph" w:styleId="Ttulo5">
    <w:name w:val="heading 5"/>
    <w:basedOn w:val="Normal"/>
    <w:next w:val="Normal"/>
    <w:link w:val="Ttulo5Car"/>
    <w:uiPriority w:val="99"/>
    <w:qFormat/>
    <w:pPr>
      <w:keepNext/>
      <w:widowControl w:val="0"/>
      <w:suppressAutoHyphens/>
      <w:outlineLvl w:val="4"/>
    </w:pPr>
    <w:rPr>
      <w:rFonts w:ascii="Bookman Old Style" w:hAnsi="Bookman Old Style" w:cs="Bookman Old Style"/>
      <w:b/>
      <w:bCs/>
      <w:lang w:val="es-ES_tradnl"/>
    </w:rPr>
  </w:style>
  <w:style w:type="paragraph" w:styleId="Ttulo6">
    <w:name w:val="heading 6"/>
    <w:basedOn w:val="Normal"/>
    <w:next w:val="Normal"/>
    <w:link w:val="Ttulo6Car"/>
    <w:uiPriority w:val="99"/>
    <w:qFormat/>
    <w:pPr>
      <w:keepNext/>
      <w:spacing w:line="360" w:lineRule="auto"/>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9"/>
    <w:rPr>
      <w:rFonts w:ascii="Bookman Old Style" w:hAnsi="Bookman Old Style" w:cs="Bookman Old Style"/>
      <w:b/>
      <w:bCs/>
      <w:snapToGrid w:val="0"/>
      <w:sz w:val="20"/>
      <w:szCs w:val="20"/>
      <w:lang w:val="es-ES_tradnl" w:eastAsia="es-ES"/>
    </w:rPr>
  </w:style>
  <w:style w:type="character" w:customStyle="1" w:styleId="Ttulo6Car">
    <w:name w:val="Título 6 Car"/>
    <w:basedOn w:val="Fuentedeprrafopredeter"/>
    <w:link w:val="Ttulo6"/>
    <w:uiPriority w:val="99"/>
    <w:rPr>
      <w:rFonts w:ascii="Arial" w:hAnsi="Arial" w:cs="Arial"/>
      <w:b/>
      <w:bCs/>
      <w:sz w:val="20"/>
      <w:szCs w:val="20"/>
      <w:lang w:eastAsia="es-ES"/>
    </w:rPr>
  </w:style>
  <w:style w:type="paragraph" w:styleId="Textoindependiente">
    <w:name w:val="Body Text"/>
    <w:basedOn w:val="Normal"/>
    <w:link w:val="TextoindependienteCar"/>
    <w:pPr>
      <w:spacing w:after="240" w:line="240" w:lineRule="atLeast"/>
      <w:jc w:val="both"/>
    </w:pPr>
    <w:rPr>
      <w:kern w:val="18"/>
      <w:lang w:val="es-ES_tradnl"/>
    </w:rPr>
  </w:style>
  <w:style w:type="character" w:customStyle="1" w:styleId="TextoindependienteCar">
    <w:name w:val="Texto independiente Car"/>
    <w:basedOn w:val="Fuentedeprrafopredeter"/>
    <w:link w:val="Textoindependiente"/>
    <w:rPr>
      <w:rFonts w:ascii="Arial" w:hAnsi="Arial" w:cs="Arial"/>
      <w:kern w:val="18"/>
      <w:sz w:val="20"/>
      <w:szCs w:val="20"/>
      <w:lang w:val="es-ES_tradnl" w:eastAsia="es-ES"/>
    </w:rPr>
  </w:style>
  <w:style w:type="character" w:styleId="Nmerodepgina">
    <w:name w:val="page number"/>
    <w:basedOn w:val="Fuentedeprrafopredeter"/>
    <w:uiPriority w:val="99"/>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uiPriority w:val="99"/>
    <w:rPr>
      <w:rFonts w:ascii="Arial" w:hAnsi="Arial" w:cs="Arial"/>
      <w:kern w:val="18"/>
      <w:sz w:val="20"/>
      <w:szCs w:val="20"/>
      <w:lang w:val="es-ES_tradnl"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basedOn w:val="Fuentedeprrafopredeter"/>
    <w:link w:val="Encabezado"/>
    <w:uiPriority w:val="99"/>
    <w:rPr>
      <w:rFonts w:ascii="Arial" w:hAnsi="Arial" w:cs="Arial"/>
      <w:sz w:val="20"/>
      <w:szCs w:val="20"/>
      <w:lang w:eastAsia="es-ES"/>
    </w:rPr>
  </w:style>
  <w:style w:type="paragraph" w:styleId="Subttulo">
    <w:name w:val="Subtitle"/>
    <w:basedOn w:val="Normal"/>
    <w:link w:val="SubttuloCar"/>
    <w:qFormat/>
    <w:rsid w:val="0066025F"/>
    <w:pPr>
      <w:spacing w:line="360" w:lineRule="auto"/>
      <w:jc w:val="both"/>
    </w:pPr>
    <w:rPr>
      <w:rFonts w:ascii="Bookman Old Style" w:eastAsia="Times New Roman" w:hAnsi="Bookman Old Style" w:cs="Times New Roman"/>
      <w:b/>
      <w:kern w:val="18"/>
      <w:szCs w:val="20"/>
    </w:rPr>
  </w:style>
  <w:style w:type="character" w:customStyle="1" w:styleId="SubttuloCar">
    <w:name w:val="Subtítulo Car"/>
    <w:basedOn w:val="Fuentedeprrafopredeter"/>
    <w:link w:val="Subttulo"/>
    <w:rsid w:val="0066025F"/>
    <w:rPr>
      <w:rFonts w:ascii="Bookman Old Style" w:eastAsia="Times New Roman" w:hAnsi="Bookman Old Style" w:cs="Times New Roman"/>
      <w:b/>
      <w:kern w:val="18"/>
      <w:sz w:val="24"/>
      <w:szCs w:val="20"/>
    </w:rPr>
  </w:style>
  <w:style w:type="paragraph" w:customStyle="1" w:styleId="Nombredireccin">
    <w:name w:val="Nombre dirección"/>
    <w:basedOn w:val="Normal"/>
    <w:next w:val="Normal"/>
    <w:rsid w:val="0066025F"/>
    <w:pPr>
      <w:spacing w:before="220" w:line="240" w:lineRule="atLeast"/>
      <w:jc w:val="both"/>
    </w:pPr>
    <w:rPr>
      <w:rFonts w:eastAsia="Times New Roman" w:cs="Times New Roman"/>
      <w:kern w:val="18"/>
      <w:szCs w:val="20"/>
    </w:rPr>
  </w:style>
  <w:style w:type="paragraph" w:customStyle="1" w:styleId="Ttulo-base">
    <w:name w:val="Título - base"/>
    <w:basedOn w:val="Textoindependiente"/>
    <w:next w:val="Textoindependiente"/>
    <w:rsid w:val="0066025F"/>
    <w:pPr>
      <w:keepNext/>
      <w:keepLines/>
      <w:spacing w:after="0"/>
      <w:jc w:val="left"/>
    </w:pPr>
    <w:rPr>
      <w:rFonts w:eastAsia="Times New Roman" w:cs="Times New Roman"/>
      <w:kern w:val="20"/>
      <w:szCs w:val="20"/>
    </w:rPr>
  </w:style>
  <w:style w:type="paragraph" w:styleId="Textoindependiente2">
    <w:name w:val="Body Text 2"/>
    <w:basedOn w:val="Normal"/>
    <w:link w:val="Textoindependiente2Car"/>
    <w:semiHidden/>
    <w:rsid w:val="0066025F"/>
    <w:pPr>
      <w:spacing w:line="360" w:lineRule="auto"/>
    </w:pPr>
    <w:rPr>
      <w:rFonts w:ascii="Bookman Old Style" w:eastAsia="Times New Roman" w:hAnsi="Bookman Old Style" w:cs="Times New Roman"/>
      <w:kern w:val="18"/>
      <w:szCs w:val="20"/>
    </w:rPr>
  </w:style>
  <w:style w:type="character" w:customStyle="1" w:styleId="Textoindependiente2Car">
    <w:name w:val="Texto independiente 2 Car"/>
    <w:basedOn w:val="Fuentedeprrafopredeter"/>
    <w:link w:val="Textoindependiente2"/>
    <w:semiHidden/>
    <w:rsid w:val="0066025F"/>
    <w:rPr>
      <w:rFonts w:ascii="Bookman Old Style" w:eastAsia="Times New Roman" w:hAnsi="Bookman Old Style" w:cs="Times New Roman"/>
      <w:kern w:val="18"/>
      <w:sz w:val="24"/>
      <w:szCs w:val="20"/>
    </w:rPr>
  </w:style>
  <w:style w:type="paragraph" w:styleId="TDC3">
    <w:name w:val="toc 3"/>
    <w:basedOn w:val="Normal"/>
    <w:next w:val="Normal"/>
    <w:autoRedefine/>
    <w:semiHidden/>
    <w:rsid w:val="0066025F"/>
    <w:pPr>
      <w:tabs>
        <w:tab w:val="right" w:leader="dot" w:pos="8494"/>
      </w:tabs>
      <w:jc w:val="center"/>
    </w:pPr>
    <w:rPr>
      <w:rFonts w:eastAsia="Times New Roman" w:cs="Times New Roman"/>
      <w:b/>
      <w:kern w:val="18"/>
      <w:szCs w:val="20"/>
    </w:rPr>
  </w:style>
  <w:style w:type="paragraph" w:styleId="Sangradetextonormal">
    <w:name w:val="Body Text Indent"/>
    <w:basedOn w:val="Normal"/>
    <w:link w:val="SangradetextonormalCar"/>
    <w:semiHidden/>
    <w:rsid w:val="0066025F"/>
    <w:pPr>
      <w:widowControl w:val="0"/>
      <w:suppressAutoHyphens/>
      <w:spacing w:line="360" w:lineRule="auto"/>
      <w:ind w:firstLine="709"/>
      <w:jc w:val="both"/>
    </w:pPr>
    <w:rPr>
      <w:rFonts w:ascii="Times New Roman" w:eastAsia="Lucida Sans Unicode" w:hAnsi="Times New Roman" w:cs="Times New Roman"/>
      <w:lang w:val="es-ES_tradnl"/>
    </w:rPr>
  </w:style>
  <w:style w:type="character" w:customStyle="1" w:styleId="SangradetextonormalCar">
    <w:name w:val="Sangría de texto normal Car"/>
    <w:basedOn w:val="Fuentedeprrafopredeter"/>
    <w:link w:val="Sangradetextonormal"/>
    <w:semiHidden/>
    <w:rsid w:val="0066025F"/>
    <w:rPr>
      <w:rFonts w:ascii="Times New Roman" w:eastAsia="Lucida Sans Unicode" w:hAnsi="Times New Roman" w:cs="Times New Roman"/>
      <w:sz w:val="24"/>
      <w:szCs w:val="24"/>
      <w:lang w:val="es-ES_tradnl"/>
    </w:rPr>
  </w:style>
  <w:style w:type="character" w:customStyle="1" w:styleId="Ttulo1Car">
    <w:name w:val="Título 1 Car"/>
    <w:basedOn w:val="Fuentedeprrafopredeter"/>
    <w:link w:val="Ttulo1"/>
    <w:rsid w:val="0066025F"/>
    <w:rPr>
      <w:rFonts w:ascii="Arial" w:eastAsia="Times New Roman" w:hAnsi="Arial" w:cs="Times New Roman"/>
      <w:b/>
      <w:caps/>
      <w:kern w:val="18"/>
      <w:sz w:val="24"/>
      <w:szCs w:val="20"/>
    </w:rPr>
  </w:style>
  <w:style w:type="character" w:customStyle="1" w:styleId="Ttulo2Car">
    <w:name w:val="Título 2 Car"/>
    <w:basedOn w:val="Fuentedeprrafopredeter"/>
    <w:link w:val="Ttulo2"/>
    <w:rsid w:val="0066025F"/>
    <w:rPr>
      <w:rFonts w:ascii="Arial" w:eastAsia="Times New Roman" w:hAnsi="Arial" w:cs="Times New Roman"/>
      <w:b/>
      <w:smallCaps/>
      <w:kern w:val="18"/>
      <w:sz w:val="24"/>
      <w:szCs w:val="20"/>
    </w:rPr>
  </w:style>
  <w:style w:type="character" w:customStyle="1" w:styleId="Ttulo3Car">
    <w:name w:val="Título 3 Car"/>
    <w:basedOn w:val="Fuentedeprrafopredeter"/>
    <w:link w:val="Ttulo3"/>
    <w:rsid w:val="0066025F"/>
    <w:rPr>
      <w:rFonts w:ascii="Arial" w:eastAsia="Times New Roman" w:hAnsi="Arial" w:cs="Times New Roman"/>
      <w:b/>
      <w:bCs/>
      <w:i/>
      <w:iCs/>
      <w:sz w:val="24"/>
      <w:szCs w:val="20"/>
    </w:rPr>
  </w:style>
  <w:style w:type="character" w:customStyle="1" w:styleId="Ttulo4Car">
    <w:name w:val="Título 4 Car"/>
    <w:basedOn w:val="Fuentedeprrafopredeter"/>
    <w:link w:val="Ttulo4"/>
    <w:rsid w:val="0066025F"/>
    <w:rPr>
      <w:rFonts w:ascii="Arial" w:eastAsia="Times New Roman" w:hAnsi="Arial" w:cs="Times New Roman"/>
      <w:b/>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3275</Words>
  <Characters>18206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Expediente N° 2014-17-1-0005582</vt:lpstr>
    </vt:vector>
  </TitlesOfParts>
  <Company>Tribunal de Cuentas</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 2014-17-1-0005582</dc:title>
  <dc:subject/>
  <dc:creator>ALBERTO CAREDIO</dc:creator>
  <cp:keywords/>
  <dc:description/>
  <cp:lastModifiedBy> </cp:lastModifiedBy>
  <cp:revision>4</cp:revision>
  <cp:lastPrinted>2014-12-05T15:46:00Z</cp:lastPrinted>
  <dcterms:created xsi:type="dcterms:W3CDTF">2014-12-19T16:43:00Z</dcterms:created>
  <dcterms:modified xsi:type="dcterms:W3CDTF">2015-01-14T16:11:00Z</dcterms:modified>
</cp:coreProperties>
</file>