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4AC6" w:rsidRPr="00D54AC6" w:rsidRDefault="00D54AC6" w:rsidP="00D54AC6">
      <w:pPr>
        <w:tabs>
          <w:tab w:val="center" w:pos="4253"/>
        </w:tabs>
        <w:suppressAutoHyphens/>
        <w:jc w:val="center"/>
        <w:rPr>
          <w:rFonts w:ascii="Helvetica" w:hAnsi="Helvetica"/>
          <w:b/>
          <w:lang w:val="es-ES_tradnl"/>
        </w:rPr>
      </w:pPr>
      <w:bookmarkStart w:id="0" w:name="_GoBack"/>
      <w:bookmarkEnd w:id="0"/>
      <w:r w:rsidRPr="00D54AC6">
        <w:rPr>
          <w:rFonts w:ascii="Helvetica" w:hAnsi="Helvetica"/>
          <w:b/>
          <w:lang w:val="es-ES_tradnl"/>
        </w:rPr>
        <w:t>RESOLUCION ADOPTADA POR EL</w:t>
      </w:r>
    </w:p>
    <w:p w:rsidR="00D54AC6" w:rsidRPr="00D54AC6" w:rsidRDefault="00D54AC6" w:rsidP="00D54AC6">
      <w:pPr>
        <w:tabs>
          <w:tab w:val="left" w:pos="-720"/>
        </w:tabs>
        <w:suppressAutoHyphens/>
        <w:jc w:val="center"/>
        <w:rPr>
          <w:rFonts w:ascii="Helvetica" w:hAnsi="Helvetica"/>
          <w:b/>
          <w:lang w:val="es-ES_tradnl"/>
        </w:rPr>
      </w:pPr>
    </w:p>
    <w:p w:rsidR="00D54AC6" w:rsidRPr="00D54AC6" w:rsidRDefault="00D54AC6" w:rsidP="00D54AC6">
      <w:pPr>
        <w:tabs>
          <w:tab w:val="center" w:pos="4253"/>
        </w:tabs>
        <w:suppressAutoHyphens/>
        <w:jc w:val="center"/>
        <w:rPr>
          <w:rFonts w:ascii="Helvetica" w:hAnsi="Helvetica"/>
          <w:b/>
          <w:lang w:val="es-ES_tradnl"/>
        </w:rPr>
      </w:pPr>
      <w:r w:rsidRPr="00D54AC6">
        <w:rPr>
          <w:rFonts w:ascii="Helvetica" w:hAnsi="Helvetica"/>
          <w:b/>
          <w:lang w:val="es-ES_tradnl"/>
        </w:rPr>
        <w:t>TRIBUNAL DE CUENTAS</w:t>
      </w:r>
    </w:p>
    <w:p w:rsidR="00D54AC6" w:rsidRPr="00D54AC6" w:rsidRDefault="00D54AC6" w:rsidP="00D54AC6">
      <w:pPr>
        <w:tabs>
          <w:tab w:val="left" w:pos="-720"/>
        </w:tabs>
        <w:suppressAutoHyphens/>
        <w:jc w:val="center"/>
        <w:rPr>
          <w:rFonts w:ascii="Helvetica" w:hAnsi="Helvetica"/>
          <w:b/>
          <w:lang w:val="es-ES_tradnl"/>
        </w:rPr>
      </w:pPr>
    </w:p>
    <w:p w:rsidR="00D54AC6" w:rsidRPr="00D54AC6" w:rsidRDefault="00D54AC6" w:rsidP="00D54AC6">
      <w:pPr>
        <w:tabs>
          <w:tab w:val="center" w:pos="4253"/>
        </w:tabs>
        <w:suppressAutoHyphens/>
        <w:jc w:val="center"/>
        <w:rPr>
          <w:rFonts w:ascii="Helvetica" w:hAnsi="Helvetica"/>
          <w:b/>
          <w:lang w:val="es-ES_tradnl"/>
        </w:rPr>
      </w:pPr>
      <w:r w:rsidRPr="00D54AC6">
        <w:rPr>
          <w:rFonts w:ascii="Helvetica" w:hAnsi="Helvetica"/>
          <w:b/>
          <w:lang w:val="es-ES_tradnl"/>
        </w:rPr>
        <w:t>EN SESION DE FECHA  10  DE DICIEMBRE DE 2014</w:t>
      </w:r>
    </w:p>
    <w:p w:rsidR="00D54AC6" w:rsidRPr="00D54AC6" w:rsidRDefault="00D54AC6" w:rsidP="00D54AC6">
      <w:pPr>
        <w:tabs>
          <w:tab w:val="center" w:pos="4253"/>
        </w:tabs>
        <w:suppressAutoHyphens/>
        <w:jc w:val="center"/>
        <w:rPr>
          <w:rFonts w:ascii="Helvetica" w:hAnsi="Helvetica"/>
          <w:b/>
          <w:lang w:val="es-ES_tradnl"/>
        </w:rPr>
      </w:pPr>
    </w:p>
    <w:p w:rsidR="00D54AC6" w:rsidRPr="00D54AC6" w:rsidRDefault="00D54AC6" w:rsidP="00D54AC6">
      <w:pPr>
        <w:tabs>
          <w:tab w:val="center" w:pos="4253"/>
        </w:tabs>
        <w:suppressAutoHyphens/>
        <w:jc w:val="center"/>
        <w:rPr>
          <w:rFonts w:ascii="Helvetica" w:hAnsi="Helvetica"/>
          <w:b/>
          <w:lang w:val="es-ES_tradnl"/>
        </w:rPr>
      </w:pPr>
      <w:r w:rsidRPr="00D54AC6">
        <w:rPr>
          <w:rFonts w:ascii="Helvetica" w:hAnsi="Helvetica"/>
          <w:b/>
          <w:lang w:val="es-ES_tradnl"/>
        </w:rPr>
        <w:t>(E. E. Nº 2014-17-1-000</w:t>
      </w:r>
      <w:r>
        <w:rPr>
          <w:rFonts w:ascii="Helvetica" w:hAnsi="Helvetica"/>
          <w:b/>
          <w:lang w:val="es-ES_tradnl"/>
        </w:rPr>
        <w:t>8904</w:t>
      </w:r>
      <w:r w:rsidRPr="00D54AC6">
        <w:rPr>
          <w:rFonts w:ascii="Helvetica" w:hAnsi="Helvetica"/>
          <w:b/>
          <w:lang w:val="es-ES_tradnl"/>
        </w:rPr>
        <w:t xml:space="preserve">, </w:t>
      </w:r>
      <w:proofErr w:type="spellStart"/>
      <w:r w:rsidRPr="00D54AC6">
        <w:rPr>
          <w:rFonts w:ascii="Helvetica" w:hAnsi="Helvetica"/>
          <w:b/>
          <w:lang w:val="es-ES_tradnl"/>
        </w:rPr>
        <w:t>Ent</w:t>
      </w:r>
      <w:proofErr w:type="spellEnd"/>
      <w:r w:rsidRPr="00D54AC6">
        <w:rPr>
          <w:rFonts w:ascii="Helvetica" w:hAnsi="Helvetica"/>
          <w:b/>
          <w:lang w:val="es-ES_tradnl"/>
        </w:rPr>
        <w:t xml:space="preserve">. N° </w:t>
      </w:r>
      <w:r>
        <w:rPr>
          <w:rFonts w:ascii="Helvetica" w:hAnsi="Helvetica"/>
          <w:b/>
          <w:lang w:val="es-ES_tradnl"/>
        </w:rPr>
        <w:t>7056</w:t>
      </w:r>
      <w:r w:rsidRPr="00D54AC6">
        <w:rPr>
          <w:rFonts w:ascii="Helvetica" w:hAnsi="Helvetica"/>
          <w:b/>
          <w:lang w:val="es-ES_tradnl"/>
        </w:rPr>
        <w:t>/14)</w:t>
      </w:r>
    </w:p>
    <w:p w:rsidR="000667B9" w:rsidRPr="00D54AC6" w:rsidRDefault="000667B9" w:rsidP="000667B9">
      <w:pPr>
        <w:rPr>
          <w:lang w:val="es-ES_tradnl"/>
        </w:rPr>
      </w:pPr>
    </w:p>
    <w:p w:rsidR="00D54AC6" w:rsidRDefault="00D54AC6" w:rsidP="000667B9">
      <w:pPr>
        <w:spacing w:line="360" w:lineRule="auto"/>
        <w:jc w:val="both"/>
        <w:rPr>
          <w:b/>
          <w:bCs/>
        </w:rPr>
      </w:pPr>
    </w:p>
    <w:p w:rsidR="000667B9" w:rsidRDefault="000667B9" w:rsidP="00D54AC6">
      <w:pPr>
        <w:spacing w:line="360" w:lineRule="auto"/>
        <w:ind w:firstLine="851"/>
        <w:jc w:val="both"/>
      </w:pPr>
      <w:r>
        <w:rPr>
          <w:b/>
          <w:bCs/>
        </w:rPr>
        <w:t>VISTO</w:t>
      </w:r>
      <w:r w:rsidR="00D54AC6">
        <w:rPr>
          <w:b/>
          <w:bCs/>
        </w:rPr>
        <w:t>:</w:t>
      </w:r>
      <w:r>
        <w:t xml:space="preserve"> estas actuaciones remitidas por el </w:t>
      </w:r>
      <w:r>
        <w:rPr>
          <w:rFonts w:cs="Arial"/>
          <w:lang w:val="es-MX"/>
        </w:rPr>
        <w:t>Ministerio de Vivienda, Ordenamiento Territorial y Medio Ambiente (MVOTMA)</w:t>
      </w:r>
      <w:r>
        <w:t xml:space="preserve">, relacionadas con la modificación del convenio celebrado con la Intendencia de Montevideo (IM) el 27 de diciembre de 2011; </w:t>
      </w:r>
    </w:p>
    <w:p w:rsidR="00096A59" w:rsidRDefault="000667B9" w:rsidP="00D54AC6">
      <w:pPr>
        <w:spacing w:line="360" w:lineRule="auto"/>
        <w:ind w:firstLine="851"/>
        <w:jc w:val="both"/>
        <w:rPr>
          <w:rFonts w:cs="Arial"/>
          <w:bCs/>
        </w:rPr>
      </w:pPr>
      <w:r>
        <w:rPr>
          <w:b/>
          <w:bCs/>
        </w:rPr>
        <w:t xml:space="preserve">RESULTANDO: 1) </w:t>
      </w:r>
      <w:r>
        <w:t xml:space="preserve">que con fecha </w:t>
      </w:r>
      <w:r>
        <w:rPr>
          <w:rFonts w:cs="Arial"/>
          <w:bCs/>
        </w:rPr>
        <w:t xml:space="preserve">1 de julio de 2011 se celebró un convenio marco entre el MVOTMA y la IM con el objeto de acordar acciones conjuntas que serían desarrolladas a través de convenios específicos para la ejecución de programas y proyectos enmarcados en las seis líneas estratégicas del Plan Quinquenal de Vivienda vigente: </w:t>
      </w:r>
    </w:p>
    <w:p w:rsidR="00096A59" w:rsidRDefault="000667B9" w:rsidP="00096A59">
      <w:pPr>
        <w:spacing w:line="360" w:lineRule="auto"/>
        <w:jc w:val="both"/>
        <w:rPr>
          <w:rFonts w:cs="Arial"/>
          <w:bCs/>
        </w:rPr>
      </w:pPr>
      <w:r>
        <w:rPr>
          <w:rFonts w:cs="Arial"/>
          <w:b/>
        </w:rPr>
        <w:t>1)</w:t>
      </w:r>
      <w:r>
        <w:rPr>
          <w:rFonts w:cs="Arial"/>
          <w:bCs/>
        </w:rPr>
        <w:t xml:space="preserve"> Plan Nacional de Relocalización de asentados en terrenos inundables o contaminados; </w:t>
      </w:r>
    </w:p>
    <w:p w:rsidR="00096A59" w:rsidRDefault="000667B9" w:rsidP="00096A59">
      <w:pPr>
        <w:spacing w:line="360" w:lineRule="auto"/>
        <w:jc w:val="both"/>
        <w:rPr>
          <w:rFonts w:cs="Arial"/>
          <w:bCs/>
        </w:rPr>
      </w:pPr>
      <w:r>
        <w:rPr>
          <w:rFonts w:cs="Arial"/>
          <w:b/>
        </w:rPr>
        <w:t>2)</w:t>
      </w:r>
      <w:r>
        <w:rPr>
          <w:rFonts w:cs="Arial"/>
          <w:bCs/>
        </w:rPr>
        <w:t xml:space="preserve"> Rehabilitación y consolidación urbano-habitacional; </w:t>
      </w:r>
    </w:p>
    <w:p w:rsidR="00096A59" w:rsidRDefault="000667B9" w:rsidP="00096A59">
      <w:pPr>
        <w:spacing w:line="360" w:lineRule="auto"/>
        <w:jc w:val="both"/>
        <w:rPr>
          <w:rFonts w:cs="Arial"/>
          <w:bCs/>
        </w:rPr>
      </w:pPr>
      <w:r>
        <w:rPr>
          <w:rFonts w:cs="Arial"/>
          <w:b/>
        </w:rPr>
        <w:t>3)</w:t>
      </w:r>
      <w:r>
        <w:rPr>
          <w:rFonts w:cs="Arial"/>
          <w:bCs/>
        </w:rPr>
        <w:t xml:space="preserve"> Plan de Acción Integrada: nuevas urbanizaciones; </w:t>
      </w:r>
    </w:p>
    <w:p w:rsidR="00096A59" w:rsidRDefault="000667B9" w:rsidP="00096A59">
      <w:pPr>
        <w:spacing w:line="360" w:lineRule="auto"/>
        <w:jc w:val="both"/>
        <w:rPr>
          <w:rFonts w:cs="Arial"/>
          <w:bCs/>
        </w:rPr>
      </w:pPr>
      <w:r>
        <w:rPr>
          <w:rFonts w:cs="Arial"/>
          <w:b/>
        </w:rPr>
        <w:t>4)</w:t>
      </w:r>
      <w:r>
        <w:rPr>
          <w:rFonts w:cs="Arial"/>
          <w:bCs/>
        </w:rPr>
        <w:t xml:space="preserve"> Plan Nacional de Alquileres para Vivienda de Intereses Social; </w:t>
      </w:r>
    </w:p>
    <w:p w:rsidR="00096A59" w:rsidRDefault="000667B9" w:rsidP="00096A59">
      <w:pPr>
        <w:spacing w:line="360" w:lineRule="auto"/>
        <w:jc w:val="both"/>
        <w:rPr>
          <w:rFonts w:cs="Arial"/>
          <w:bCs/>
        </w:rPr>
      </w:pPr>
      <w:r>
        <w:rPr>
          <w:rFonts w:cs="Arial"/>
          <w:b/>
        </w:rPr>
        <w:t>5)</w:t>
      </w:r>
      <w:r>
        <w:rPr>
          <w:rFonts w:cs="Arial"/>
          <w:bCs/>
        </w:rPr>
        <w:t xml:space="preserve"> Vivienda rural y pequeñas localidades; </w:t>
      </w:r>
    </w:p>
    <w:p w:rsidR="000667B9" w:rsidRDefault="000667B9" w:rsidP="00096A59">
      <w:pPr>
        <w:spacing w:line="360" w:lineRule="auto"/>
        <w:jc w:val="both"/>
        <w:rPr>
          <w:rFonts w:cs="Arial"/>
          <w:bCs/>
        </w:rPr>
      </w:pPr>
      <w:r>
        <w:rPr>
          <w:rFonts w:cs="Arial"/>
          <w:b/>
        </w:rPr>
        <w:t>6)</w:t>
      </w:r>
      <w:r>
        <w:rPr>
          <w:rFonts w:cs="Arial"/>
          <w:bCs/>
        </w:rPr>
        <w:t xml:space="preserve"> Política de Incentivo a la Inversión privada en Vivienda de Interés Social;</w:t>
      </w:r>
    </w:p>
    <w:p w:rsidR="000667B9" w:rsidRDefault="000667B9" w:rsidP="003841D6">
      <w:pPr>
        <w:spacing w:line="360" w:lineRule="auto"/>
        <w:ind w:firstLine="2694"/>
        <w:jc w:val="both"/>
        <w:rPr>
          <w:rFonts w:cs="Arial"/>
          <w:bCs/>
        </w:rPr>
      </w:pPr>
      <w:r>
        <w:rPr>
          <w:rFonts w:cs="Arial"/>
          <w:b/>
        </w:rPr>
        <w:t>2)</w:t>
      </w:r>
      <w:r>
        <w:rPr>
          <w:rFonts w:cs="Arial"/>
          <w:bCs/>
        </w:rPr>
        <w:t xml:space="preserve"> que en su oportunidad se remitió proyecto de convenio específico a suscribir con la Intendencia de Montevideo, cuyo objeto consistía en  la relocalización total de familias asentadas en el asentamiento “la Manchega”, en virtud de encontrarse ubicado en terrenos contaminados y la relocalización de las familias asentadas en las áreas inundables de los asentamientos “Las </w:t>
      </w:r>
      <w:proofErr w:type="spellStart"/>
      <w:r>
        <w:rPr>
          <w:rFonts w:cs="Arial"/>
          <w:bCs/>
        </w:rPr>
        <w:t>Duranas</w:t>
      </w:r>
      <w:proofErr w:type="spellEnd"/>
      <w:r>
        <w:rPr>
          <w:rFonts w:cs="Arial"/>
          <w:bCs/>
        </w:rPr>
        <w:t>” y “</w:t>
      </w:r>
      <w:proofErr w:type="spellStart"/>
      <w:r>
        <w:rPr>
          <w:rFonts w:cs="Arial"/>
          <w:bCs/>
        </w:rPr>
        <w:t>Joanicó</w:t>
      </w:r>
      <w:proofErr w:type="spellEnd"/>
      <w:r>
        <w:rPr>
          <w:rFonts w:cs="Arial"/>
          <w:bCs/>
        </w:rPr>
        <w:t>”;</w:t>
      </w:r>
    </w:p>
    <w:p w:rsidR="000667B9" w:rsidRDefault="000667B9" w:rsidP="00171C71">
      <w:pPr>
        <w:pStyle w:val="Textoindependiente"/>
        <w:ind w:firstLine="2694"/>
      </w:pPr>
      <w:r w:rsidRPr="00BF1BA1">
        <w:rPr>
          <w:b/>
        </w:rPr>
        <w:lastRenderedPageBreak/>
        <w:t>3)</w:t>
      </w:r>
      <w:r>
        <w:t xml:space="preserve"> que este Tribunal por Resolución adoptada el 30 de noviembre de 2011, no formuló observaciones al proyecto mencionado y dispuso que dictada la Resolución definitiva por el </w:t>
      </w:r>
      <w:r w:rsidR="00FE3DF0">
        <w:t>O</w:t>
      </w:r>
      <w:r>
        <w:t>rdenador competente y suscrito el convenio respectivo, se cometía a la Contadora Delegada la intervención de las erogaciones emergentes del mismo;</w:t>
      </w:r>
    </w:p>
    <w:p w:rsidR="000667B9" w:rsidRDefault="000667B9" w:rsidP="00171C71">
      <w:pPr>
        <w:pStyle w:val="Textoindependiente"/>
        <w:ind w:firstLine="2694"/>
      </w:pPr>
      <w:r w:rsidRPr="00BF1BA1">
        <w:rPr>
          <w:b/>
        </w:rPr>
        <w:t>4)</w:t>
      </w:r>
      <w:r>
        <w:t xml:space="preserve"> que con fecha 27 de diciembre de 2011, se celebró el convenio mencionado luego de que por Resolución del Poder Ejecutivo del 21 de diciembre de 2011, se autorizara la suscripción del mismo;</w:t>
      </w:r>
    </w:p>
    <w:p w:rsidR="000667B9" w:rsidRDefault="000667B9" w:rsidP="00171C71">
      <w:pPr>
        <w:pStyle w:val="Textoindependiente"/>
        <w:ind w:firstLine="2694"/>
      </w:pPr>
      <w:r w:rsidRPr="00BF1BA1">
        <w:rPr>
          <w:b/>
        </w:rPr>
        <w:t>5)</w:t>
      </w:r>
      <w:r>
        <w:t xml:space="preserve"> que teniendo en cuenta que, durante la ejecución del convenio,  se constató que los montos totales previstos para financiar las soluciones habitaciones resultan insuficientes y que se ha disminuido levemente el número total de soluciones habitacionales a entregar, se remite  esta oportunidad un convenio por intermedio del cual se modifica el convenio celebrado el 27 de diciembre de 2011 de forma tal que pueda cumplirse cabalmente con el objetivo plateado al momento de su otorgamiento;</w:t>
      </w:r>
    </w:p>
    <w:p w:rsidR="00FE3DF0" w:rsidRDefault="000667B9" w:rsidP="00F04729">
      <w:pPr>
        <w:spacing w:line="360" w:lineRule="auto"/>
        <w:ind w:firstLine="2694"/>
        <w:jc w:val="both"/>
      </w:pPr>
      <w:r w:rsidRPr="00670811">
        <w:rPr>
          <w:b/>
        </w:rPr>
        <w:t>6)</w:t>
      </w:r>
      <w:r>
        <w:t xml:space="preserve"> que en tal sentido, se adjunta convenio celebrado ad referéndum de la intervención de este Tribunal entre el MVOTMA y la IM   el 19 de noviembre de 2014,  por el cual se modifica el Numeral I de la Cláusula Tercera y el Numeral VI de la Cláusula Cuarta del Convenio suscrito por las misma partes el 27 de diciembre de 2011, las cuales quedaran redactadas de la siguiente manera: </w:t>
      </w:r>
      <w:r w:rsidR="00FE3DF0">
        <w:t>“</w:t>
      </w:r>
      <w:r>
        <w:t xml:space="preserve">TERCERO: OBLIGACIONES DEL MVOTMA: el MVOTMA se compromete a: I) Transferir un monto de hasta UR 321.130 con destino a financiar 137 soluciones habitacionales, equivalente UI 611.248 por solución habitacional. Dicha transferencia se realizará en partidas consecutivas de monto variable, según lo dispuesto a continuación y una vez verificado el cumplimiento de  las condiciones acordadas. a) Hasta UR 81.840, que se hará efectiva una vez que sean aprobados por parte de Dirección Nacional de Vivienda (DINAVI) los proyectos sociales y arquitectónicos y el cronograma de obras a realizar para las hasta  68 primeras soluciones habitacionales; </w:t>
      </w:r>
    </w:p>
    <w:p w:rsidR="00FE3DF0" w:rsidRDefault="000667B9" w:rsidP="00FE3DF0">
      <w:pPr>
        <w:spacing w:line="360" w:lineRule="auto"/>
        <w:jc w:val="both"/>
      </w:pPr>
      <w:r>
        <w:lastRenderedPageBreak/>
        <w:t xml:space="preserve">b) una segunda partida de hasta UR 74.400, una vez que se hayan presentado por parte de la IM el informe de Revisión Limitada y los informes sociales y arquitectónicos correspondientes a las primeras 68 soluciones habitacionales y, se haya aprobado por DINAVI, el proyecto social y arquitectónico y el cronograma para llevarlo adelante, hasta 63 soluciones habitacionales; </w:t>
      </w:r>
    </w:p>
    <w:p w:rsidR="00FE3DF0" w:rsidRDefault="000667B9" w:rsidP="00FE3DF0">
      <w:pPr>
        <w:spacing w:line="360" w:lineRule="auto"/>
        <w:jc w:val="both"/>
      </w:pPr>
      <w:r>
        <w:t>c) una tercera partida de hasta U</w:t>
      </w:r>
      <w:r w:rsidR="004525F2">
        <w:t>R</w:t>
      </w:r>
      <w:r>
        <w:t xml:space="preserve"> 154.111 el diferencial de costo de las viviendas a construirse con las primera</w:t>
      </w:r>
      <w:r w:rsidR="004525F2">
        <w:t>s</w:t>
      </w:r>
      <w:r>
        <w:t xml:space="preserve"> dos partidas; </w:t>
      </w:r>
    </w:p>
    <w:p w:rsidR="000667B9" w:rsidRDefault="000667B9" w:rsidP="00FE3DF0">
      <w:pPr>
        <w:spacing w:line="360" w:lineRule="auto"/>
        <w:jc w:val="both"/>
      </w:pPr>
      <w:r>
        <w:t xml:space="preserve">d) una cuarta partida  corresponde a la sustracción al monto total destinado al convenio menos los montos transferidos en la 1ª, 2ª y terceras partidas, una vez que la IM haya presentado  los informes de revisión limitada de los recursos trasferidos al amparo de este acuerdo, informes sociales y arquitectónicos correspondientes, proyecto de intervención en el área a liberar con el realojo del asentamiento, debiéndose aprobar por la DINAVI los proyectos sociales y arquitectónicos a realizarse y el cronograma de actividades para finalizar la relocalización total del asentamiento, si correspondiera. El monto total a transferir será el correspondiente a la cantidad de soluciones habitacionales presentadas por la IM y aprobadas por la DINAVI y de acuerdo al monto establecido por solución habitacional en el punto I de esta cláusula. Dichas sumas serán depositadas en una cuenta </w:t>
      </w:r>
      <w:proofErr w:type="spellStart"/>
      <w:r>
        <w:t>extrapresupuestal</w:t>
      </w:r>
      <w:proofErr w:type="spellEnd"/>
      <w:r>
        <w:t xml:space="preserve"> abierta para ese fin específico”. “CUARTO: OBLIGACIONES DE LA INTENDENCIA: VI) Proporcionar la mano de obra calificada (eléctrica, sanitaria y albañilería) para complementar la ayuda mutua y/o autoconstrucción así como las herramientas necesarias para la construcción de las hasta 137 soluciones habitacionales”;</w:t>
      </w:r>
    </w:p>
    <w:p w:rsidR="000667B9" w:rsidRDefault="000667B9" w:rsidP="00171C71">
      <w:pPr>
        <w:spacing w:line="360" w:lineRule="auto"/>
        <w:ind w:firstLine="2694"/>
        <w:jc w:val="both"/>
        <w:rPr>
          <w:rFonts w:cs="Arial"/>
          <w:bCs/>
        </w:rPr>
      </w:pPr>
      <w:r>
        <w:rPr>
          <w:rFonts w:cs="Arial"/>
          <w:b/>
        </w:rPr>
        <w:t>7)</w:t>
      </w:r>
      <w:r>
        <w:rPr>
          <w:rFonts w:cs="Arial"/>
          <w:bCs/>
        </w:rPr>
        <w:t xml:space="preserve"> que  se adjunta  Resolución del Poder Ejecutivo  por la cual se autoriza, ad referéndum de la intervención de este Tribunal, la suscripción del convenio referido;</w:t>
      </w:r>
    </w:p>
    <w:p w:rsidR="000667B9" w:rsidRDefault="000667B9" w:rsidP="00171C71">
      <w:pPr>
        <w:spacing w:line="360" w:lineRule="auto"/>
        <w:ind w:firstLine="2694"/>
        <w:jc w:val="both"/>
        <w:rPr>
          <w:rFonts w:cs="Arial"/>
          <w:bCs/>
        </w:rPr>
      </w:pPr>
      <w:r w:rsidRPr="007B459D">
        <w:rPr>
          <w:rFonts w:cs="Arial"/>
          <w:b/>
          <w:bCs/>
        </w:rPr>
        <w:t>8)</w:t>
      </w:r>
      <w:r>
        <w:rPr>
          <w:rFonts w:cs="Arial"/>
          <w:bCs/>
        </w:rPr>
        <w:t xml:space="preserve"> que se agrega documento de afectación Nº 001406 del 29/10/14 por l</w:t>
      </w:r>
      <w:r w:rsidR="00F04729">
        <w:rPr>
          <w:rFonts w:cs="Arial"/>
          <w:bCs/>
        </w:rPr>
        <w:t>a</w:t>
      </w:r>
      <w:r>
        <w:rPr>
          <w:rFonts w:cs="Arial"/>
          <w:bCs/>
        </w:rPr>
        <w:t xml:space="preserve"> suma de $ 117.500.391, correspondiente al Programa 520, Objeto de gasto 514, de la  Unidad Ejecutora 002 del Inciso Nº 14;</w:t>
      </w:r>
    </w:p>
    <w:p w:rsidR="000667B9" w:rsidRDefault="000667B9" w:rsidP="00171C71">
      <w:pPr>
        <w:spacing w:line="360" w:lineRule="auto"/>
        <w:ind w:firstLine="851"/>
        <w:jc w:val="both"/>
        <w:rPr>
          <w:rFonts w:cs="Arial"/>
        </w:rPr>
      </w:pPr>
      <w:r>
        <w:rPr>
          <w:rFonts w:cs="Arial"/>
          <w:b/>
          <w:bCs/>
        </w:rPr>
        <w:t>CONSIDERANDO: 1)</w:t>
      </w:r>
      <w:r>
        <w:rPr>
          <w:rFonts w:cs="Arial"/>
        </w:rPr>
        <w:t xml:space="preserve"> que de acuerdo con lo dispuesto por el </w:t>
      </w:r>
      <w:r w:rsidR="00F04729">
        <w:rPr>
          <w:rFonts w:cs="Arial"/>
        </w:rPr>
        <w:t xml:space="preserve">     N</w:t>
      </w:r>
      <w:r>
        <w:rPr>
          <w:rFonts w:cs="Arial"/>
        </w:rPr>
        <w:t xml:space="preserve">umeral 1 del </w:t>
      </w:r>
      <w:r w:rsidR="00F04729">
        <w:rPr>
          <w:rFonts w:cs="Arial"/>
        </w:rPr>
        <w:t>A</w:t>
      </w:r>
      <w:r>
        <w:rPr>
          <w:rFonts w:cs="Arial"/>
        </w:rPr>
        <w:t xml:space="preserve">rtículo 3º de la </w:t>
      </w:r>
      <w:r w:rsidR="00F04729">
        <w:rPr>
          <w:rFonts w:cs="Arial"/>
        </w:rPr>
        <w:t>L</w:t>
      </w:r>
      <w:r>
        <w:rPr>
          <w:rFonts w:cs="Arial"/>
        </w:rPr>
        <w:t>ey  Nº 16.112  al  MVOTMA le corresponde “lo concerniente a la formulación, ejecución, supervisión y evaluación de los planes de vivienda y la instrumentación de la política nacional en la materia”;</w:t>
      </w:r>
    </w:p>
    <w:p w:rsidR="000667B9" w:rsidRDefault="000667B9" w:rsidP="00171C71">
      <w:pPr>
        <w:spacing w:line="360" w:lineRule="auto"/>
        <w:ind w:firstLine="2977"/>
        <w:jc w:val="both"/>
        <w:rPr>
          <w:rFonts w:cs="Arial"/>
        </w:rPr>
      </w:pPr>
      <w:r>
        <w:rPr>
          <w:rFonts w:cs="Arial"/>
          <w:b/>
          <w:bCs/>
        </w:rPr>
        <w:t>2)</w:t>
      </w:r>
      <w:r>
        <w:rPr>
          <w:rFonts w:cs="Arial"/>
        </w:rPr>
        <w:t xml:space="preserve"> que el </w:t>
      </w:r>
      <w:r w:rsidR="00F04729">
        <w:rPr>
          <w:rFonts w:cs="Arial"/>
        </w:rPr>
        <w:t>N</w:t>
      </w:r>
      <w:r>
        <w:rPr>
          <w:rFonts w:cs="Arial"/>
        </w:rPr>
        <w:t xml:space="preserve">umeral 8 de dicho </w:t>
      </w:r>
      <w:r w:rsidR="00F04729">
        <w:rPr>
          <w:rFonts w:cs="Arial"/>
        </w:rPr>
        <w:t>A</w:t>
      </w:r>
      <w:r>
        <w:rPr>
          <w:rFonts w:cs="Arial"/>
        </w:rPr>
        <w:t xml:space="preserve">rtículo dispone </w:t>
      </w:r>
      <w:r w:rsidR="00F04729">
        <w:rPr>
          <w:rFonts w:cs="Arial"/>
        </w:rPr>
        <w:t xml:space="preserve">que </w:t>
      </w:r>
      <w:r>
        <w:rPr>
          <w:rFonts w:cs="Arial"/>
        </w:rPr>
        <w:t>al MVOTMA le compete, “la coordinación con los demás organismos públicos, nacionales o extranjer</w:t>
      </w:r>
      <w:r w:rsidR="00F04729">
        <w:rPr>
          <w:rFonts w:cs="Arial"/>
        </w:rPr>
        <w:t>o</w:t>
      </w:r>
      <w:r>
        <w:rPr>
          <w:rFonts w:cs="Arial"/>
        </w:rPr>
        <w:t>s”  y  “la celebración  de convenios con personas públicas y privadas, para el cumplimiento de sus cometidos”:</w:t>
      </w:r>
    </w:p>
    <w:p w:rsidR="000667B9" w:rsidRDefault="000667B9" w:rsidP="00171C71">
      <w:pPr>
        <w:pStyle w:val="Textoindependiente"/>
        <w:ind w:firstLine="2977"/>
        <w:rPr>
          <w:bCs w:val="0"/>
        </w:rPr>
      </w:pPr>
      <w:r>
        <w:rPr>
          <w:b/>
        </w:rPr>
        <w:t xml:space="preserve">3) </w:t>
      </w:r>
      <w:r>
        <w:rPr>
          <w:bCs w:val="0"/>
        </w:rPr>
        <w:t xml:space="preserve">que el </w:t>
      </w:r>
      <w:r w:rsidR="00F04729">
        <w:rPr>
          <w:bCs w:val="0"/>
        </w:rPr>
        <w:t>A</w:t>
      </w:r>
      <w:r>
        <w:rPr>
          <w:bCs w:val="0"/>
        </w:rPr>
        <w:t xml:space="preserve">rtículo 119 de la Ley Nº 13.728, en la redacción dada por el </w:t>
      </w:r>
      <w:r w:rsidR="00F04729">
        <w:rPr>
          <w:bCs w:val="0"/>
        </w:rPr>
        <w:t>A</w:t>
      </w:r>
      <w:r>
        <w:rPr>
          <w:bCs w:val="0"/>
        </w:rPr>
        <w:t>rtículo 1 de la Ley Nº 16.237 dispone que el MVOTMA “dispondrá la ejecución de los planes a través de convenios con otros organismos de derecho público habilitados legalmente para construir viviendas o con entidades privadas, por los cuales éstos se obligan a tomar su cargo la promoción o construcción en forma no lucrativa de conjuntos de viviendas comprendidos dentro de aquellos planes. Estos convenios dispondrán los aportes de ambos organismos, que podrán ser de tierras, urbanizaciones, servicios, dinero, trabajo o especies”;</w:t>
      </w:r>
    </w:p>
    <w:p w:rsidR="000667B9" w:rsidRDefault="000667B9" w:rsidP="00171C71">
      <w:pPr>
        <w:spacing w:line="360" w:lineRule="auto"/>
        <w:ind w:firstLine="2977"/>
        <w:jc w:val="both"/>
        <w:rPr>
          <w:rFonts w:cs="Arial"/>
        </w:rPr>
      </w:pPr>
      <w:r>
        <w:rPr>
          <w:rFonts w:cs="Arial"/>
          <w:b/>
          <w:bCs/>
        </w:rPr>
        <w:t>4)</w:t>
      </w:r>
      <w:r>
        <w:rPr>
          <w:rFonts w:cs="Arial"/>
        </w:rPr>
        <w:t xml:space="preserve"> que la norma exige que los Convenios se realicen con “organismos habilitados legalmente a construir viviendas”;</w:t>
      </w:r>
    </w:p>
    <w:p w:rsidR="000667B9" w:rsidRDefault="000667B9" w:rsidP="00171C71">
      <w:pPr>
        <w:spacing w:line="360" w:lineRule="auto"/>
        <w:ind w:firstLine="2977"/>
        <w:jc w:val="both"/>
        <w:rPr>
          <w:rFonts w:cs="Arial"/>
        </w:rPr>
      </w:pPr>
      <w:r>
        <w:rPr>
          <w:rFonts w:cs="Arial"/>
          <w:b/>
          <w:bCs/>
        </w:rPr>
        <w:t>5)</w:t>
      </w:r>
      <w:r>
        <w:rPr>
          <w:rFonts w:cs="Arial"/>
        </w:rPr>
        <w:t xml:space="preserve"> el </w:t>
      </w:r>
      <w:r w:rsidR="00F04729">
        <w:rPr>
          <w:rFonts w:cs="Arial"/>
        </w:rPr>
        <w:t>A</w:t>
      </w:r>
      <w:r>
        <w:rPr>
          <w:rFonts w:cs="Arial"/>
        </w:rPr>
        <w:t xml:space="preserve">rtículo 115 de la ley  Nº 13.728 con las modificaciones introducidas por la </w:t>
      </w:r>
      <w:r w:rsidR="00F04729">
        <w:rPr>
          <w:rFonts w:cs="Arial"/>
        </w:rPr>
        <w:t>L</w:t>
      </w:r>
      <w:r>
        <w:rPr>
          <w:rFonts w:cs="Arial"/>
        </w:rPr>
        <w:t>ey Nº 16.237, establece que las Intendencias son responsables de la implementación de programas de asistencia social, de asistencia técnica y suministro de materiales, que aseguren la adecuada evolución posterior de todas las unidades construidas;</w:t>
      </w:r>
    </w:p>
    <w:p w:rsidR="000667B9" w:rsidRDefault="000667B9" w:rsidP="00171C71">
      <w:pPr>
        <w:spacing w:line="360" w:lineRule="auto"/>
        <w:ind w:firstLine="2977"/>
        <w:jc w:val="both"/>
        <w:rPr>
          <w:rFonts w:cs="Arial"/>
          <w:b/>
          <w:bCs/>
          <w:lang w:val="es-MX"/>
        </w:rPr>
      </w:pPr>
      <w:r>
        <w:rPr>
          <w:rFonts w:cs="Arial"/>
          <w:b/>
          <w:bCs/>
        </w:rPr>
        <w:t>6</w:t>
      </w:r>
      <w:r>
        <w:rPr>
          <w:rFonts w:cs="Arial"/>
          <w:b/>
          <w:bCs/>
          <w:lang w:val="es-MX"/>
        </w:rPr>
        <w:t>)</w:t>
      </w:r>
      <w:r>
        <w:rPr>
          <w:rFonts w:cs="Arial"/>
          <w:lang w:val="es-MX"/>
        </w:rPr>
        <w:t xml:space="preserve"> que la normativa no le atribuye a las Intendencia la competencia de ejecutar y financiar la construcción de viviendas, y dicha competencia no puede admitirse como un poder implícito, en tanto ha sido atribuida a texto expreso a otros órganos públicos (MVOTMA, ANV, BHU)</w:t>
      </w:r>
      <w:r>
        <w:rPr>
          <w:rFonts w:cs="Arial"/>
          <w:b/>
          <w:bCs/>
          <w:lang w:val="es-MX"/>
        </w:rPr>
        <w:t>;</w:t>
      </w:r>
    </w:p>
    <w:p w:rsidR="000667B9" w:rsidRDefault="000667B9" w:rsidP="00171C71">
      <w:pPr>
        <w:spacing w:line="360" w:lineRule="auto"/>
        <w:ind w:firstLine="2977"/>
        <w:jc w:val="both"/>
        <w:rPr>
          <w:rFonts w:cs="Arial"/>
          <w:lang w:val="es-MX"/>
        </w:rPr>
      </w:pPr>
      <w:r>
        <w:rPr>
          <w:rFonts w:cs="Arial"/>
          <w:b/>
          <w:bCs/>
          <w:lang w:val="es-MX"/>
        </w:rPr>
        <w:t xml:space="preserve">7) </w:t>
      </w:r>
      <w:r>
        <w:rPr>
          <w:rFonts w:cs="Arial"/>
          <w:lang w:val="es-MX"/>
        </w:rPr>
        <w:t xml:space="preserve">que, por lo tanto,  la suscripción del convenio remitido encuadra en el marco de atribuciones de los organismos intervinientes, en la medida que la aplicación del  numeral VI de la cláusula cuarta del Convenio remitido no habilita a la Intendencia a exceder las potestades legalmente atribuidas;                            </w:t>
      </w:r>
    </w:p>
    <w:p w:rsidR="000667B9" w:rsidRDefault="000667B9" w:rsidP="00171C71">
      <w:pPr>
        <w:spacing w:line="360" w:lineRule="auto"/>
        <w:ind w:firstLine="851"/>
        <w:jc w:val="both"/>
        <w:rPr>
          <w:rFonts w:cs="Arial"/>
          <w:lang w:val="es-MX"/>
        </w:rPr>
      </w:pPr>
      <w:r>
        <w:rPr>
          <w:rFonts w:cs="Arial"/>
          <w:b/>
          <w:bCs/>
          <w:lang w:val="es-MX"/>
        </w:rPr>
        <w:t>ATENTO</w:t>
      </w:r>
      <w:r w:rsidRPr="00171C71">
        <w:rPr>
          <w:rFonts w:cs="Arial"/>
          <w:b/>
          <w:lang w:val="es-MX"/>
        </w:rPr>
        <w:t>:</w:t>
      </w:r>
      <w:r>
        <w:rPr>
          <w:rFonts w:cs="Arial"/>
          <w:lang w:val="es-MX"/>
        </w:rPr>
        <w:t xml:space="preserve"> a lo expresado precedentemente y a lo dispuesto por el </w:t>
      </w:r>
      <w:r w:rsidR="00F04729">
        <w:rPr>
          <w:rFonts w:cs="Arial"/>
          <w:lang w:val="es-MX"/>
        </w:rPr>
        <w:t>A</w:t>
      </w:r>
      <w:r>
        <w:rPr>
          <w:rFonts w:cs="Arial"/>
          <w:lang w:val="es-MX"/>
        </w:rPr>
        <w:t xml:space="preserve">rtículo 211 </w:t>
      </w:r>
      <w:r w:rsidR="00F04729">
        <w:rPr>
          <w:rFonts w:cs="Arial"/>
          <w:lang w:val="es-MX"/>
        </w:rPr>
        <w:t>L</w:t>
      </w:r>
      <w:r>
        <w:rPr>
          <w:rFonts w:cs="Arial"/>
          <w:lang w:val="es-MX"/>
        </w:rPr>
        <w:t xml:space="preserve">iteral B) de la Constitución de la República; </w:t>
      </w:r>
    </w:p>
    <w:p w:rsidR="000667B9" w:rsidRDefault="000667B9" w:rsidP="000667B9">
      <w:pPr>
        <w:spacing w:line="360" w:lineRule="auto"/>
        <w:ind w:firstLine="708"/>
        <w:jc w:val="center"/>
        <w:rPr>
          <w:rFonts w:cs="Arial"/>
          <w:b/>
          <w:bCs/>
        </w:rPr>
      </w:pPr>
      <w:r>
        <w:rPr>
          <w:rFonts w:cs="Arial"/>
          <w:b/>
          <w:bCs/>
        </w:rPr>
        <w:t xml:space="preserve">EL TRIBUNAL </w:t>
      </w:r>
      <w:r w:rsidR="00171C71">
        <w:rPr>
          <w:rFonts w:cs="Arial"/>
          <w:b/>
          <w:bCs/>
        </w:rPr>
        <w:t>ACUERDA</w:t>
      </w:r>
    </w:p>
    <w:p w:rsidR="00171C71" w:rsidRDefault="000667B9" w:rsidP="00171C71">
      <w:pPr>
        <w:spacing w:line="360" w:lineRule="auto"/>
        <w:ind w:left="426" w:hanging="426"/>
        <w:jc w:val="both"/>
      </w:pPr>
      <w:r w:rsidRPr="00E513F1">
        <w:rPr>
          <w:b/>
        </w:rPr>
        <w:t>1)</w:t>
      </w:r>
      <w:r>
        <w:t xml:space="preserve">  No formular observaciones al convenio celebrado el 19 de noviembre de 2014 </w:t>
      </w:r>
      <w:r w:rsidR="00355103">
        <w:t>por</w:t>
      </w:r>
      <w:r>
        <w:t xml:space="preserve"> el</w:t>
      </w:r>
      <w:r w:rsidRPr="00E513F1">
        <w:rPr>
          <w:rFonts w:cs="Arial"/>
          <w:lang w:val="es-MX"/>
        </w:rPr>
        <w:t xml:space="preserve"> Ministerio de Vivienda, Ordenamiento Territorial y Medio Ambiente </w:t>
      </w:r>
      <w:r w:rsidR="00355103">
        <w:rPr>
          <w:rFonts w:cs="Arial"/>
          <w:lang w:val="es-MX"/>
        </w:rPr>
        <w:t>con</w:t>
      </w:r>
      <w:r w:rsidRPr="00E513F1">
        <w:rPr>
          <w:rFonts w:cs="Arial"/>
          <w:lang w:val="es-MX"/>
        </w:rPr>
        <w:t xml:space="preserve"> la Intendencia de Montevideo; </w:t>
      </w:r>
    </w:p>
    <w:p w:rsidR="000667B9" w:rsidRDefault="000667B9" w:rsidP="00171C71">
      <w:pPr>
        <w:spacing w:line="360" w:lineRule="auto"/>
        <w:ind w:left="426" w:hanging="426"/>
        <w:jc w:val="both"/>
      </w:pPr>
      <w:r w:rsidRPr="000667B9">
        <w:rPr>
          <w:rFonts w:cs="Arial"/>
          <w:b/>
        </w:rPr>
        <w:t>2)</w:t>
      </w:r>
      <w:r>
        <w:rPr>
          <w:rFonts w:cs="Arial"/>
        </w:rPr>
        <w:t xml:space="preserve"> C</w:t>
      </w:r>
      <w:proofErr w:type="spellStart"/>
      <w:r>
        <w:rPr>
          <w:rFonts w:cs="Arial"/>
          <w:lang w:val="es-MX"/>
        </w:rPr>
        <w:t>ométese</w:t>
      </w:r>
      <w:proofErr w:type="spellEnd"/>
      <w:r>
        <w:rPr>
          <w:rFonts w:cs="Arial"/>
          <w:lang w:val="es-MX"/>
        </w:rPr>
        <w:t xml:space="preserve"> a</w:t>
      </w:r>
      <w:r w:rsidR="00FD7008">
        <w:rPr>
          <w:rFonts w:cs="Arial"/>
          <w:lang w:val="es-MX"/>
        </w:rPr>
        <w:t xml:space="preserve"> </w:t>
      </w:r>
      <w:r>
        <w:rPr>
          <w:rFonts w:cs="Arial"/>
          <w:lang w:val="es-MX"/>
        </w:rPr>
        <w:t>l</w:t>
      </w:r>
      <w:r w:rsidR="00FD7008">
        <w:rPr>
          <w:rFonts w:cs="Arial"/>
          <w:lang w:val="es-MX"/>
        </w:rPr>
        <w:t>a</w:t>
      </w:r>
      <w:r>
        <w:rPr>
          <w:rFonts w:cs="Arial"/>
          <w:lang w:val="es-MX"/>
        </w:rPr>
        <w:t xml:space="preserve"> Contador</w:t>
      </w:r>
      <w:r w:rsidR="00FD7008">
        <w:rPr>
          <w:rFonts w:cs="Arial"/>
          <w:lang w:val="es-MX"/>
        </w:rPr>
        <w:t>a</w:t>
      </w:r>
      <w:r>
        <w:rPr>
          <w:rFonts w:cs="Arial"/>
          <w:lang w:val="es-MX"/>
        </w:rPr>
        <w:t xml:space="preserve"> Delegad</w:t>
      </w:r>
      <w:r w:rsidR="00FD7008">
        <w:rPr>
          <w:rFonts w:cs="Arial"/>
          <w:lang w:val="es-MX"/>
        </w:rPr>
        <w:t>a</w:t>
      </w:r>
      <w:r>
        <w:rPr>
          <w:rFonts w:cs="Arial"/>
          <w:lang w:val="es-MX"/>
        </w:rPr>
        <w:t xml:space="preserve"> la intervención de las erogaciones </w:t>
      </w:r>
      <w:r w:rsidR="00171C71">
        <w:rPr>
          <w:rFonts w:cs="Arial"/>
          <w:lang w:val="es-MX"/>
        </w:rPr>
        <w:t xml:space="preserve"> </w:t>
      </w:r>
      <w:r>
        <w:rPr>
          <w:rFonts w:cs="Arial"/>
          <w:lang w:val="es-MX"/>
        </w:rPr>
        <w:t xml:space="preserve">emergentes del convenio remitido, previa verificación de su imputación con cargo a grupo adecuado con disponibilidad suficiente; </w:t>
      </w:r>
      <w:r>
        <w:t xml:space="preserve"> </w:t>
      </w:r>
    </w:p>
    <w:p w:rsidR="000667B9" w:rsidRDefault="00171C71" w:rsidP="000667B9">
      <w:pPr>
        <w:spacing w:line="360" w:lineRule="auto"/>
        <w:jc w:val="both"/>
        <w:rPr>
          <w:rFonts w:cs="Arial"/>
          <w:lang w:val="es-UY"/>
        </w:rPr>
      </w:pPr>
      <w:r>
        <w:rPr>
          <w:rFonts w:cs="Arial"/>
          <w:b/>
          <w:lang w:val="es-UY"/>
        </w:rPr>
        <w:t>3</w:t>
      </w:r>
      <w:r w:rsidR="000667B9" w:rsidRPr="00877FD0">
        <w:rPr>
          <w:rFonts w:cs="Arial"/>
          <w:b/>
          <w:lang w:val="es-UY"/>
        </w:rPr>
        <w:t>)</w:t>
      </w:r>
      <w:r w:rsidR="000667B9">
        <w:rPr>
          <w:rFonts w:cs="Arial"/>
          <w:lang w:val="es-UY"/>
        </w:rPr>
        <w:t xml:space="preserve"> Comunicar a</w:t>
      </w:r>
      <w:r w:rsidR="00FD7008">
        <w:rPr>
          <w:rFonts w:cs="Arial"/>
          <w:lang w:val="es-UY"/>
        </w:rPr>
        <w:t xml:space="preserve"> </w:t>
      </w:r>
      <w:r w:rsidR="000667B9">
        <w:rPr>
          <w:rFonts w:cs="Arial"/>
          <w:lang w:val="es-UY"/>
        </w:rPr>
        <w:t>l</w:t>
      </w:r>
      <w:r w:rsidR="00FD7008">
        <w:rPr>
          <w:rFonts w:cs="Arial"/>
          <w:lang w:val="es-UY"/>
        </w:rPr>
        <w:t>a</w:t>
      </w:r>
      <w:r w:rsidR="000667B9">
        <w:rPr>
          <w:rFonts w:cs="Arial"/>
          <w:lang w:val="es-UY"/>
        </w:rPr>
        <w:t xml:space="preserve"> Contador</w:t>
      </w:r>
      <w:r w:rsidR="00FD7008">
        <w:rPr>
          <w:rFonts w:cs="Arial"/>
          <w:lang w:val="es-UY"/>
        </w:rPr>
        <w:t>a</w:t>
      </w:r>
      <w:r w:rsidR="000667B9">
        <w:rPr>
          <w:rFonts w:cs="Arial"/>
          <w:lang w:val="es-UY"/>
        </w:rPr>
        <w:t xml:space="preserve"> Delegad</w:t>
      </w:r>
      <w:r w:rsidR="00FD7008">
        <w:rPr>
          <w:rFonts w:cs="Arial"/>
          <w:lang w:val="es-UY"/>
        </w:rPr>
        <w:t>a</w:t>
      </w:r>
      <w:r w:rsidR="000667B9">
        <w:rPr>
          <w:rFonts w:cs="Arial"/>
          <w:lang w:val="es-UY"/>
        </w:rPr>
        <w:t>;</w:t>
      </w:r>
    </w:p>
    <w:p w:rsidR="000667B9" w:rsidRDefault="00171C71" w:rsidP="000667B9">
      <w:pPr>
        <w:spacing w:line="360" w:lineRule="auto"/>
        <w:jc w:val="both"/>
      </w:pPr>
      <w:r>
        <w:rPr>
          <w:b/>
        </w:rPr>
        <w:t>4</w:t>
      </w:r>
      <w:r w:rsidR="000667B9" w:rsidRPr="00877FD0">
        <w:rPr>
          <w:b/>
        </w:rPr>
        <w:t>)</w:t>
      </w:r>
      <w:r w:rsidR="000667B9">
        <w:t xml:space="preserve"> Devolver las actuaciones.</w:t>
      </w:r>
    </w:p>
    <w:p w:rsidR="00171C71" w:rsidRDefault="00171C71" w:rsidP="000667B9">
      <w:pPr>
        <w:spacing w:line="360" w:lineRule="auto"/>
        <w:jc w:val="both"/>
      </w:pPr>
    </w:p>
    <w:p w:rsidR="00171C71" w:rsidRDefault="00171C71" w:rsidP="000667B9">
      <w:pPr>
        <w:spacing w:line="360" w:lineRule="auto"/>
        <w:jc w:val="both"/>
      </w:pPr>
    </w:p>
    <w:p w:rsidR="00171C71" w:rsidRDefault="00171C71" w:rsidP="000667B9">
      <w:pPr>
        <w:spacing w:line="360" w:lineRule="auto"/>
        <w:jc w:val="both"/>
        <w:rPr>
          <w:b/>
          <w:bCs/>
        </w:rPr>
      </w:pPr>
      <w:proofErr w:type="spellStart"/>
      <w:proofErr w:type="gramStart"/>
      <w:r>
        <w:t>ag</w:t>
      </w:r>
      <w:proofErr w:type="spellEnd"/>
      <w:proofErr w:type="gramEnd"/>
    </w:p>
    <w:sectPr w:rsidR="00171C71" w:rsidSect="00515244">
      <w:pgSz w:w="11906" w:h="16838" w:code="9"/>
      <w:pgMar w:top="3289" w:right="1701" w:bottom="1134" w:left="1701" w:header="709" w:footer="709" w:gutter="0"/>
      <w:paperSrc w:first="4" w:other="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Helvetica">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67B9"/>
    <w:rsid w:val="000667B9"/>
    <w:rsid w:val="00096A59"/>
    <w:rsid w:val="00171C71"/>
    <w:rsid w:val="001E4D4B"/>
    <w:rsid w:val="00321F4C"/>
    <w:rsid w:val="00355103"/>
    <w:rsid w:val="003841D6"/>
    <w:rsid w:val="003F37A5"/>
    <w:rsid w:val="004525F2"/>
    <w:rsid w:val="00515244"/>
    <w:rsid w:val="00BA1E71"/>
    <w:rsid w:val="00CD78A8"/>
    <w:rsid w:val="00D54AC6"/>
    <w:rsid w:val="00F04729"/>
    <w:rsid w:val="00F425EE"/>
    <w:rsid w:val="00FD7008"/>
    <w:rsid w:val="00FE3DF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B9"/>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0667B9"/>
    <w:pPr>
      <w:keepNext/>
      <w:spacing w:line="360" w:lineRule="auto"/>
      <w:jc w:val="center"/>
      <w:outlineLvl w:val="0"/>
    </w:pPr>
    <w:rPr>
      <w:b/>
      <w:bCs/>
    </w:rPr>
  </w:style>
  <w:style w:type="paragraph" w:styleId="Ttulo3">
    <w:name w:val="heading 3"/>
    <w:basedOn w:val="Normal"/>
    <w:next w:val="Normal"/>
    <w:link w:val="Ttulo3Car"/>
    <w:qFormat/>
    <w:rsid w:val="000667B9"/>
    <w:pPr>
      <w:keepNext/>
      <w:spacing w:line="360" w:lineRule="auto"/>
      <w:jc w:val="both"/>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667B9"/>
    <w:rPr>
      <w:rFonts w:ascii="Arial" w:eastAsia="Times New Roman" w:hAnsi="Arial" w:cs="Times New Roman"/>
      <w:b/>
      <w:bCs/>
      <w:sz w:val="24"/>
      <w:szCs w:val="24"/>
      <w:lang w:eastAsia="es-ES"/>
    </w:rPr>
  </w:style>
  <w:style w:type="character" w:customStyle="1" w:styleId="Ttulo3Car">
    <w:name w:val="Título 3 Car"/>
    <w:basedOn w:val="Fuentedeprrafopredeter"/>
    <w:link w:val="Ttulo3"/>
    <w:rsid w:val="000667B9"/>
    <w:rPr>
      <w:rFonts w:ascii="Arial" w:eastAsia="Times New Roman" w:hAnsi="Arial" w:cs="Times New Roman"/>
      <w:b/>
      <w:bCs/>
      <w:sz w:val="24"/>
      <w:szCs w:val="24"/>
      <w:lang w:eastAsia="es-ES"/>
    </w:rPr>
  </w:style>
  <w:style w:type="paragraph" w:styleId="Textoindependiente">
    <w:name w:val="Body Text"/>
    <w:basedOn w:val="Normal"/>
    <w:link w:val="TextoindependienteCar"/>
    <w:semiHidden/>
    <w:rsid w:val="000667B9"/>
    <w:pPr>
      <w:spacing w:line="360" w:lineRule="auto"/>
      <w:jc w:val="both"/>
    </w:pPr>
    <w:rPr>
      <w:rFonts w:cs="Arial"/>
      <w:bCs/>
    </w:rPr>
  </w:style>
  <w:style w:type="character" w:customStyle="1" w:styleId="TextoindependienteCar">
    <w:name w:val="Texto independiente Car"/>
    <w:basedOn w:val="Fuentedeprrafopredeter"/>
    <w:link w:val="Textoindependiente"/>
    <w:semiHidden/>
    <w:rsid w:val="000667B9"/>
    <w:rPr>
      <w:rFonts w:ascii="Arial" w:eastAsia="Times New Roman" w:hAnsi="Arial" w:cs="Arial"/>
      <w:bCs/>
      <w:sz w:val="24"/>
      <w:szCs w:val="24"/>
      <w:lang w:eastAsia="es-ES"/>
    </w:rPr>
  </w:style>
  <w:style w:type="paragraph" w:styleId="Textodeglobo">
    <w:name w:val="Balloon Text"/>
    <w:basedOn w:val="Normal"/>
    <w:link w:val="TextodegloboCar"/>
    <w:uiPriority w:val="99"/>
    <w:semiHidden/>
    <w:unhideWhenUsed/>
    <w:rsid w:val="00515244"/>
    <w:rPr>
      <w:rFonts w:ascii="Tahoma" w:hAnsi="Tahoma" w:cs="Tahoma"/>
      <w:sz w:val="16"/>
      <w:szCs w:val="16"/>
    </w:rPr>
  </w:style>
  <w:style w:type="character" w:customStyle="1" w:styleId="TextodegloboCar">
    <w:name w:val="Texto de globo Car"/>
    <w:basedOn w:val="Fuentedeprrafopredeter"/>
    <w:link w:val="Textodeglobo"/>
    <w:uiPriority w:val="99"/>
    <w:semiHidden/>
    <w:rsid w:val="00515244"/>
    <w:rPr>
      <w:rFonts w:ascii="Tahoma" w:eastAsia="Times New Roman" w:hAnsi="Tahoma" w:cs="Tahoma"/>
      <w:sz w:val="16"/>
      <w:szCs w:val="16"/>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67B9"/>
    <w:pPr>
      <w:spacing w:after="0" w:line="240" w:lineRule="auto"/>
    </w:pPr>
    <w:rPr>
      <w:rFonts w:ascii="Arial" w:eastAsia="Times New Roman" w:hAnsi="Arial" w:cs="Times New Roman"/>
      <w:sz w:val="24"/>
      <w:szCs w:val="24"/>
      <w:lang w:eastAsia="es-ES"/>
    </w:rPr>
  </w:style>
  <w:style w:type="paragraph" w:styleId="Ttulo1">
    <w:name w:val="heading 1"/>
    <w:basedOn w:val="Normal"/>
    <w:next w:val="Normal"/>
    <w:link w:val="Ttulo1Car"/>
    <w:qFormat/>
    <w:rsid w:val="000667B9"/>
    <w:pPr>
      <w:keepNext/>
      <w:spacing w:line="360" w:lineRule="auto"/>
      <w:jc w:val="center"/>
      <w:outlineLvl w:val="0"/>
    </w:pPr>
    <w:rPr>
      <w:b/>
      <w:bCs/>
    </w:rPr>
  </w:style>
  <w:style w:type="paragraph" w:styleId="Ttulo3">
    <w:name w:val="heading 3"/>
    <w:basedOn w:val="Normal"/>
    <w:next w:val="Normal"/>
    <w:link w:val="Ttulo3Car"/>
    <w:qFormat/>
    <w:rsid w:val="000667B9"/>
    <w:pPr>
      <w:keepNext/>
      <w:spacing w:line="360" w:lineRule="auto"/>
      <w:jc w:val="both"/>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0667B9"/>
    <w:rPr>
      <w:rFonts w:ascii="Arial" w:eastAsia="Times New Roman" w:hAnsi="Arial" w:cs="Times New Roman"/>
      <w:b/>
      <w:bCs/>
      <w:sz w:val="24"/>
      <w:szCs w:val="24"/>
      <w:lang w:eastAsia="es-ES"/>
    </w:rPr>
  </w:style>
  <w:style w:type="character" w:customStyle="1" w:styleId="Ttulo3Car">
    <w:name w:val="Título 3 Car"/>
    <w:basedOn w:val="Fuentedeprrafopredeter"/>
    <w:link w:val="Ttulo3"/>
    <w:rsid w:val="000667B9"/>
    <w:rPr>
      <w:rFonts w:ascii="Arial" w:eastAsia="Times New Roman" w:hAnsi="Arial" w:cs="Times New Roman"/>
      <w:b/>
      <w:bCs/>
      <w:sz w:val="24"/>
      <w:szCs w:val="24"/>
      <w:lang w:eastAsia="es-ES"/>
    </w:rPr>
  </w:style>
  <w:style w:type="paragraph" w:styleId="Textoindependiente">
    <w:name w:val="Body Text"/>
    <w:basedOn w:val="Normal"/>
    <w:link w:val="TextoindependienteCar"/>
    <w:semiHidden/>
    <w:rsid w:val="000667B9"/>
    <w:pPr>
      <w:spacing w:line="360" w:lineRule="auto"/>
      <w:jc w:val="both"/>
    </w:pPr>
    <w:rPr>
      <w:rFonts w:cs="Arial"/>
      <w:bCs/>
    </w:rPr>
  </w:style>
  <w:style w:type="character" w:customStyle="1" w:styleId="TextoindependienteCar">
    <w:name w:val="Texto independiente Car"/>
    <w:basedOn w:val="Fuentedeprrafopredeter"/>
    <w:link w:val="Textoindependiente"/>
    <w:semiHidden/>
    <w:rsid w:val="000667B9"/>
    <w:rPr>
      <w:rFonts w:ascii="Arial" w:eastAsia="Times New Roman" w:hAnsi="Arial" w:cs="Arial"/>
      <w:bCs/>
      <w:sz w:val="24"/>
      <w:szCs w:val="24"/>
      <w:lang w:eastAsia="es-ES"/>
    </w:rPr>
  </w:style>
  <w:style w:type="paragraph" w:styleId="Textodeglobo">
    <w:name w:val="Balloon Text"/>
    <w:basedOn w:val="Normal"/>
    <w:link w:val="TextodegloboCar"/>
    <w:uiPriority w:val="99"/>
    <w:semiHidden/>
    <w:unhideWhenUsed/>
    <w:rsid w:val="00515244"/>
    <w:rPr>
      <w:rFonts w:ascii="Tahoma" w:hAnsi="Tahoma" w:cs="Tahoma"/>
      <w:sz w:val="16"/>
      <w:szCs w:val="16"/>
    </w:rPr>
  </w:style>
  <w:style w:type="character" w:customStyle="1" w:styleId="TextodegloboCar">
    <w:name w:val="Texto de globo Car"/>
    <w:basedOn w:val="Fuentedeprrafopredeter"/>
    <w:link w:val="Textodeglobo"/>
    <w:uiPriority w:val="99"/>
    <w:semiHidden/>
    <w:rsid w:val="00515244"/>
    <w:rPr>
      <w:rFonts w:ascii="Tahoma" w:eastAsia="Times New Roman" w:hAnsi="Tahoma" w:cs="Tahoma"/>
      <w:sz w:val="16"/>
      <w:szCs w:val="16"/>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Pages>
  <Words>1295</Words>
  <Characters>7128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DIEGO MARTIN LAMAS GARCIA</dc:creator>
  <cp:keywords/>
  <dc:description/>
  <cp:lastModifiedBy>Lenovo User</cp:lastModifiedBy>
  <cp:revision>17</cp:revision>
  <cp:lastPrinted>2014-12-16T14:45:00Z</cp:lastPrinted>
  <dcterms:created xsi:type="dcterms:W3CDTF">2014-12-15T15:01:00Z</dcterms:created>
  <dcterms:modified xsi:type="dcterms:W3CDTF">2014-12-16T14:45:00Z</dcterms:modified>
</cp:coreProperties>
</file>