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7B" w:rsidRDefault="00D2037B" w:rsidP="00D2037B">
      <w:pPr>
        <w:tabs>
          <w:tab w:val="center" w:pos="4253"/>
        </w:tabs>
        <w:suppressAutoHyphens/>
        <w:spacing w:after="0" w:line="240" w:lineRule="auto"/>
        <w:jc w:val="center"/>
        <w:rPr>
          <w:rFonts w:ascii="Helvetica" w:hAnsi="Helvetica"/>
          <w:b/>
          <w:lang w:val="es-ES_tradnl"/>
        </w:rPr>
      </w:pPr>
      <w:bookmarkStart w:id="0" w:name="_GoBack"/>
      <w:bookmarkEnd w:id="0"/>
      <w:r>
        <w:rPr>
          <w:rFonts w:ascii="Helvetica" w:hAnsi="Helvetica"/>
          <w:b/>
          <w:lang w:val="es-ES_tradnl"/>
        </w:rPr>
        <w:t>RESOLUCION ADOPTADA POR EL</w:t>
      </w:r>
    </w:p>
    <w:p w:rsidR="00D2037B" w:rsidRDefault="00D2037B" w:rsidP="00D2037B">
      <w:pPr>
        <w:tabs>
          <w:tab w:val="left" w:pos="-720"/>
        </w:tabs>
        <w:suppressAutoHyphens/>
        <w:spacing w:after="0" w:line="240" w:lineRule="auto"/>
        <w:jc w:val="center"/>
        <w:rPr>
          <w:rFonts w:ascii="Helvetica" w:hAnsi="Helvetica"/>
          <w:b/>
          <w:lang w:val="es-ES_tradnl"/>
        </w:rPr>
      </w:pPr>
    </w:p>
    <w:p w:rsidR="00D2037B" w:rsidRDefault="00D2037B" w:rsidP="00D2037B">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D2037B" w:rsidRDefault="00D2037B" w:rsidP="00D2037B">
      <w:pPr>
        <w:tabs>
          <w:tab w:val="left" w:pos="-720"/>
        </w:tabs>
        <w:suppressAutoHyphens/>
        <w:spacing w:after="0" w:line="240" w:lineRule="auto"/>
        <w:jc w:val="center"/>
        <w:rPr>
          <w:rFonts w:ascii="Helvetica" w:hAnsi="Helvetica"/>
          <w:b/>
          <w:lang w:val="es-ES_tradnl"/>
        </w:rPr>
      </w:pPr>
    </w:p>
    <w:p w:rsidR="00D2037B" w:rsidRDefault="00D2037B" w:rsidP="00D2037B">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19 DE NOVIEMBRE DE 2014</w:t>
      </w:r>
    </w:p>
    <w:p w:rsidR="00D2037B" w:rsidRDefault="00D2037B" w:rsidP="00D2037B">
      <w:pPr>
        <w:tabs>
          <w:tab w:val="center" w:pos="4253"/>
        </w:tabs>
        <w:suppressAutoHyphens/>
        <w:spacing w:after="0" w:line="240" w:lineRule="auto"/>
        <w:jc w:val="center"/>
        <w:rPr>
          <w:rFonts w:ascii="Helvetica" w:hAnsi="Helvetica"/>
          <w:b/>
          <w:lang w:val="es-ES_tradnl"/>
        </w:rPr>
      </w:pPr>
    </w:p>
    <w:p w:rsidR="00D2037B" w:rsidRPr="00520DC2" w:rsidRDefault="00D2037B" w:rsidP="00D2037B">
      <w:pPr>
        <w:tabs>
          <w:tab w:val="center" w:pos="4253"/>
        </w:tabs>
        <w:suppressAutoHyphens/>
        <w:spacing w:after="0" w:line="240" w:lineRule="auto"/>
        <w:jc w:val="center"/>
        <w:rPr>
          <w:rFonts w:ascii="Helvetica" w:hAnsi="Helvetica"/>
          <w:b/>
        </w:rPr>
      </w:pPr>
      <w:r w:rsidRPr="00520DC2">
        <w:rPr>
          <w:rFonts w:ascii="Helvetica" w:hAnsi="Helvetica"/>
          <w:b/>
        </w:rPr>
        <w:t>(E. E. Nº 2014-17-1-0004190, Ent. N° 3147/14)</w:t>
      </w:r>
    </w:p>
    <w:p w:rsidR="00D2037B" w:rsidRDefault="00D2037B" w:rsidP="00D2037B">
      <w:pPr>
        <w:tabs>
          <w:tab w:val="center" w:pos="4253"/>
        </w:tabs>
        <w:suppressAutoHyphens/>
        <w:spacing w:after="0" w:line="240" w:lineRule="auto"/>
        <w:jc w:val="center"/>
        <w:rPr>
          <w:spacing w:val="-3"/>
        </w:rPr>
      </w:pPr>
    </w:p>
    <w:p w:rsidR="00A96C24" w:rsidRPr="00520DC2" w:rsidRDefault="00A96C24" w:rsidP="00D2037B">
      <w:pPr>
        <w:tabs>
          <w:tab w:val="center" w:pos="4253"/>
        </w:tabs>
        <w:suppressAutoHyphens/>
        <w:spacing w:after="0" w:line="240" w:lineRule="auto"/>
        <w:jc w:val="center"/>
        <w:rPr>
          <w:spacing w:val="-3"/>
        </w:rPr>
      </w:pPr>
    </w:p>
    <w:p w:rsidR="00D2037B" w:rsidRDefault="00D2037B" w:rsidP="00D2037B">
      <w:pPr>
        <w:pStyle w:val="Encabezado"/>
        <w:tabs>
          <w:tab w:val="left" w:pos="708"/>
        </w:tabs>
        <w:spacing w:line="360" w:lineRule="auto"/>
        <w:ind w:firstLine="851"/>
        <w:jc w:val="both"/>
        <w:rPr>
          <w:rFonts w:ascii="Arial" w:hAnsi="Arial"/>
        </w:rPr>
      </w:pPr>
      <w:r>
        <w:rPr>
          <w:rFonts w:ascii="Arial" w:hAnsi="Arial"/>
          <w:b/>
        </w:rPr>
        <w:t>VISTO:</w:t>
      </w:r>
      <w:r>
        <w:rPr>
          <w:rFonts w:ascii="Arial" w:hAnsi="Arial"/>
        </w:rPr>
        <w:t xml:space="preserve"> que este Tribunal ha examinado el Estado de Ejecución Presupuestal de la Administración Nacional de Correos correspondiente al Ejercicio 2013;</w:t>
      </w:r>
    </w:p>
    <w:p w:rsidR="00D2037B" w:rsidRDefault="00D2037B" w:rsidP="00D2037B">
      <w:pPr>
        <w:pStyle w:val="Encabezado"/>
        <w:tabs>
          <w:tab w:val="left" w:pos="708"/>
        </w:tabs>
        <w:spacing w:line="360" w:lineRule="auto"/>
        <w:ind w:firstLine="851"/>
        <w:jc w:val="both"/>
        <w:rPr>
          <w:rFonts w:ascii="Times" w:hAnsi="Times"/>
        </w:rPr>
      </w:pPr>
      <w:r>
        <w:rPr>
          <w:rFonts w:ascii="Arial" w:hAnsi="Arial"/>
          <w:b/>
        </w:rPr>
        <w:t>RESULTANDO:</w:t>
      </w:r>
      <w:r>
        <w:rPr>
          <w:rFonts w:ascii="Arial" w:hAnsi="Arial"/>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D2037B" w:rsidRDefault="00D2037B" w:rsidP="00D2037B">
      <w:pPr>
        <w:pStyle w:val="Encabezado"/>
        <w:tabs>
          <w:tab w:val="left" w:pos="708"/>
        </w:tabs>
        <w:spacing w:line="360" w:lineRule="auto"/>
        <w:ind w:firstLine="851"/>
        <w:jc w:val="both"/>
        <w:rPr>
          <w:rFonts w:ascii="Arial" w:hAnsi="Arial"/>
        </w:rPr>
      </w:pPr>
      <w:r>
        <w:rPr>
          <w:rFonts w:ascii="Arial" w:hAnsi="Arial"/>
          <w:b/>
        </w:rPr>
        <w:t>CONSIDERANDO:</w:t>
      </w:r>
      <w:r>
        <w:rPr>
          <w:rFonts w:ascii="Arial" w:hAnsi="Arial"/>
        </w:rPr>
        <w:t xml:space="preserve"> que las conclusiones y evidencias obtenidas son las que se expresan en el  Informe de Auditoría, que incluye el Dictamen e Informe a la Administración;</w:t>
      </w:r>
    </w:p>
    <w:p w:rsidR="00D2037B" w:rsidRDefault="00D2037B" w:rsidP="00D2037B">
      <w:pPr>
        <w:pStyle w:val="Encabezado"/>
        <w:tabs>
          <w:tab w:val="left" w:pos="708"/>
        </w:tabs>
        <w:spacing w:line="360" w:lineRule="auto"/>
        <w:ind w:firstLine="851"/>
        <w:jc w:val="both"/>
        <w:rPr>
          <w:rFonts w:ascii="Arial" w:hAnsi="Arial"/>
        </w:rPr>
      </w:pPr>
      <w:r>
        <w:rPr>
          <w:rFonts w:ascii="Arial" w:hAnsi="Arial"/>
          <w:b/>
        </w:rPr>
        <w:t>ATENTO:</w:t>
      </w:r>
      <w:r>
        <w:rPr>
          <w:rFonts w:ascii="Arial" w:hAnsi="Arial"/>
        </w:rPr>
        <w:t xml:space="preserve"> a lo dispuesto por el Artículo 211 Literal C) de la Constitución de la República;</w:t>
      </w:r>
    </w:p>
    <w:p w:rsidR="00D2037B" w:rsidRDefault="00D2037B" w:rsidP="00D2037B">
      <w:pPr>
        <w:pStyle w:val="Ttulo2"/>
        <w:spacing w:after="120"/>
        <w:ind w:firstLine="709"/>
        <w:rPr>
          <w:rFonts w:ascii="Arial" w:hAnsi="Arial"/>
        </w:rPr>
      </w:pPr>
      <w:r>
        <w:rPr>
          <w:rFonts w:ascii="Arial" w:hAnsi="Arial"/>
        </w:rPr>
        <w:t>EL TRIBUNAL ACUERDA</w:t>
      </w:r>
    </w:p>
    <w:p w:rsidR="00D2037B" w:rsidRDefault="00D2037B" w:rsidP="00D2037B">
      <w:pPr>
        <w:numPr>
          <w:ilvl w:val="0"/>
          <w:numId w:val="1"/>
        </w:numPr>
        <w:tabs>
          <w:tab w:val="clear" w:pos="720"/>
          <w:tab w:val="num" w:pos="284"/>
          <w:tab w:val="num" w:pos="360"/>
        </w:tabs>
        <w:spacing w:after="0" w:line="360" w:lineRule="auto"/>
        <w:ind w:left="284" w:hanging="284"/>
      </w:pPr>
      <w:r>
        <w:t>Emitir su Dictamen Constitucional respecto al Estado de Ejecución Presupuestal correspondiente al Ejercicio 2013 de la Administración Nacional de Correos, en los térmi</w:t>
      </w:r>
      <w:r w:rsidR="00A96C24">
        <w:t>nos del Informe que se adjunta;</w:t>
      </w:r>
    </w:p>
    <w:p w:rsidR="00D2037B" w:rsidRDefault="00D2037B" w:rsidP="00D2037B">
      <w:pPr>
        <w:numPr>
          <w:ilvl w:val="0"/>
          <w:numId w:val="1"/>
        </w:numPr>
        <w:tabs>
          <w:tab w:val="clear" w:pos="720"/>
          <w:tab w:val="num" w:pos="284"/>
          <w:tab w:val="num" w:pos="360"/>
        </w:tabs>
        <w:spacing w:after="0" w:line="360" w:lineRule="auto"/>
        <w:ind w:left="284" w:hanging="284"/>
      </w:pPr>
      <w:r>
        <w:t>Comunicar al Poder Ejecutivo, a la Oficina de Planeamiento y Presupuesto, al Organismo y a la Contadora Delegada;</w:t>
      </w:r>
    </w:p>
    <w:p w:rsidR="00D2037B" w:rsidRDefault="00D2037B" w:rsidP="00D2037B">
      <w:pPr>
        <w:numPr>
          <w:ilvl w:val="0"/>
          <w:numId w:val="1"/>
        </w:numPr>
        <w:tabs>
          <w:tab w:val="clear" w:pos="720"/>
          <w:tab w:val="num" w:pos="284"/>
          <w:tab w:val="num" w:pos="360"/>
        </w:tabs>
        <w:spacing w:after="0" w:line="360" w:lineRule="auto"/>
        <w:ind w:left="284" w:hanging="284"/>
      </w:pPr>
      <w:r>
        <w:t>Oficiar al SODRE; y</w:t>
      </w:r>
    </w:p>
    <w:p w:rsidR="00D2037B" w:rsidRDefault="00D2037B" w:rsidP="00D2037B">
      <w:pPr>
        <w:numPr>
          <w:ilvl w:val="0"/>
          <w:numId w:val="1"/>
        </w:numPr>
        <w:tabs>
          <w:tab w:val="clear" w:pos="720"/>
          <w:tab w:val="num" w:pos="284"/>
          <w:tab w:val="num" w:pos="360"/>
        </w:tabs>
        <w:spacing w:after="0" w:line="360" w:lineRule="auto"/>
        <w:ind w:left="0" w:firstLine="0"/>
      </w:pPr>
      <w:r>
        <w:t>Dar cuenta a la Asamblea General.</w:t>
      </w:r>
    </w:p>
    <w:p w:rsidR="00A96C24" w:rsidRDefault="00A96C24" w:rsidP="00EC6BF0">
      <w:pPr>
        <w:tabs>
          <w:tab w:val="num" w:pos="720"/>
        </w:tabs>
        <w:spacing w:after="0" w:line="360" w:lineRule="auto"/>
        <w:ind w:hanging="426"/>
      </w:pPr>
    </w:p>
    <w:p w:rsidR="00A96C24" w:rsidRDefault="00A96C24" w:rsidP="00EC6BF0">
      <w:pPr>
        <w:tabs>
          <w:tab w:val="num" w:pos="720"/>
        </w:tabs>
        <w:spacing w:after="0" w:line="360" w:lineRule="auto"/>
        <w:ind w:hanging="426"/>
      </w:pPr>
    </w:p>
    <w:p w:rsidR="000C5BCA" w:rsidRDefault="000C5BCA" w:rsidP="00A96C24">
      <w:pPr>
        <w:pStyle w:val="Ttulo2"/>
        <w:rPr>
          <w:rFonts w:ascii="Arial" w:hAnsi="Arial"/>
        </w:rPr>
      </w:pPr>
      <w:r>
        <w:rPr>
          <w:rFonts w:ascii="Arial" w:hAnsi="Arial"/>
        </w:rPr>
        <w:lastRenderedPageBreak/>
        <w:t xml:space="preserve">DICTAMEN  </w:t>
      </w:r>
    </w:p>
    <w:p w:rsidR="000C5BCA" w:rsidRDefault="000C5BCA" w:rsidP="00A96C24">
      <w:pPr>
        <w:pStyle w:val="Textoindependiente"/>
        <w:rPr>
          <w:rFonts w:ascii="Arial" w:hAnsi="Arial"/>
        </w:rPr>
      </w:pPr>
    </w:p>
    <w:p w:rsidR="000C5BCA" w:rsidRDefault="000C5BCA" w:rsidP="00A96C24">
      <w:pPr>
        <w:pStyle w:val="Textoindependiente"/>
        <w:rPr>
          <w:rFonts w:ascii="Arial" w:hAnsi="Arial"/>
        </w:rPr>
      </w:pPr>
      <w:r>
        <w:rPr>
          <w:rFonts w:ascii="Arial" w:hAnsi="Arial"/>
        </w:rPr>
        <w:t>El Tribunal de Cuentas ha examinado el Estado de Ejecución Presupuestal de la Administración Nacional de Correos (ANC) correspondiente al período 1 de enero al 31 de diciembre de 2013.</w:t>
      </w:r>
    </w:p>
    <w:p w:rsidR="000C5BCA" w:rsidRDefault="000C5BCA" w:rsidP="00A96C24">
      <w:pPr>
        <w:pStyle w:val="Textoindependiente"/>
        <w:tabs>
          <w:tab w:val="num" w:pos="142"/>
        </w:tabs>
        <w:rPr>
          <w:rFonts w:ascii="Arial" w:hAnsi="Arial"/>
        </w:rPr>
      </w:pPr>
      <w:r>
        <w:rPr>
          <w:rFonts w:ascii="Arial" w:hAnsi="Arial"/>
        </w:rPr>
        <w:t>También se presentan, en caso de corresponder, los incumplimientos legales constatados por el Tribunal de Cuentas en el curso de la auditoría efectuada.</w:t>
      </w:r>
    </w:p>
    <w:p w:rsidR="000C5BCA" w:rsidRDefault="000C5BCA" w:rsidP="00A96C24">
      <w:pPr>
        <w:pStyle w:val="Textoindependiente"/>
        <w:tabs>
          <w:tab w:val="num" w:pos="142"/>
        </w:tabs>
        <w:rPr>
          <w:rFonts w:ascii="Arial" w:hAnsi="Arial"/>
        </w:rPr>
      </w:pPr>
    </w:p>
    <w:p w:rsidR="000C5BCA" w:rsidRDefault="000C5BCA" w:rsidP="00A96C24">
      <w:pPr>
        <w:pStyle w:val="Textoindependiente3"/>
        <w:widowControl/>
        <w:spacing w:line="360" w:lineRule="auto"/>
        <w:rPr>
          <w:rFonts w:ascii="Arial" w:hAnsi="Arial"/>
        </w:rPr>
      </w:pPr>
      <w:r>
        <w:rPr>
          <w:rFonts w:ascii="Arial" w:hAnsi="Arial"/>
          <w:snapToGrid/>
        </w:rPr>
        <w:t>Responsabilidad de la Dirección</w:t>
      </w:r>
    </w:p>
    <w:p w:rsidR="000C5BCA" w:rsidRDefault="000C5BCA" w:rsidP="00A96C24">
      <w:pPr>
        <w:spacing w:after="0" w:line="360" w:lineRule="auto"/>
        <w:rPr>
          <w:snapToGrid w:val="0"/>
          <w:lang w:val="es-ES_tradnl"/>
        </w:rPr>
      </w:pPr>
      <w:r>
        <w:rPr>
          <w:snapToGrid w:val="0"/>
          <w:lang w:val="es-ES_tradnl"/>
        </w:rPr>
        <w:t xml:space="preserve">La Dirección de la ANC es responsable por la preparación y la razonable presentación de dicho estado, de acuerdo con </w:t>
      </w:r>
      <w:r>
        <w:rPr>
          <w:color w:val="000000"/>
        </w:rPr>
        <w:t xml:space="preserve">las disposiciones legales vigentes, </w:t>
      </w:r>
      <w:r>
        <w:rPr>
          <w:snapToGrid w:val="0"/>
          <w:lang w:val="es-ES_tradnl"/>
        </w:rPr>
        <w:t>las normas y criterios establecidos en el TOCAF, en la Ordenanza    N° 75 del Tribunal de Cuentas y en el presupuesto vigente.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w:t>
      </w:r>
    </w:p>
    <w:p w:rsidR="000C5BCA" w:rsidRDefault="000C5BCA" w:rsidP="00A96C24">
      <w:pPr>
        <w:spacing w:after="0" w:line="360" w:lineRule="auto"/>
        <w:rPr>
          <w:snapToGrid w:val="0"/>
          <w:lang w:val="es-ES_tradnl"/>
        </w:rPr>
      </w:pPr>
    </w:p>
    <w:p w:rsidR="000C5BCA" w:rsidRDefault="000C5BCA" w:rsidP="00A96C24">
      <w:pPr>
        <w:spacing w:after="0" w:line="360" w:lineRule="auto"/>
      </w:pPr>
      <w:r>
        <w:rPr>
          <w:b/>
        </w:rPr>
        <w:t>Responsabilidad del Auditor</w:t>
      </w:r>
    </w:p>
    <w:p w:rsidR="000C5BCA" w:rsidRDefault="000C5BCA" w:rsidP="00A96C24">
      <w:pPr>
        <w:spacing w:after="0" w:line="360" w:lineRule="auto"/>
      </w:pPr>
      <w:r>
        <w:t>La responsabilidad del Tribunal de Cuentas es expresar una opinión sobre el estado de ejecución presupuestal basada en la auditoría realizada. Esta auditoría fue practicada de acuerdo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el estado presentado está li</w:t>
      </w:r>
      <w:r w:rsidR="008C7B15">
        <w:t>bre de errores significativos.</w:t>
      </w:r>
    </w:p>
    <w:p w:rsidR="000C5BCA" w:rsidRDefault="000C5BCA" w:rsidP="00A96C24">
      <w:pPr>
        <w:spacing w:after="0" w:line="360" w:lineRule="auto"/>
        <w:rPr>
          <w:spacing w:val="-3"/>
          <w:lang w:val="es-ES_tradnl"/>
        </w:rPr>
      </w:pPr>
      <w:r>
        <w:t>Una auditoría implica realizar procedimientos para obtener evidencia acerca de los montos y revelaciones contables. Los procedimientos seleccionados dependen del juicio profesional del auditor. También</w:t>
      </w:r>
      <w:r>
        <w:rPr>
          <w:spacing w:val="-3"/>
          <w:lang w:val="es-ES_tradnl"/>
        </w:rPr>
        <w:t xml:space="preserve">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 </w:t>
      </w:r>
    </w:p>
    <w:p w:rsidR="000C5BCA" w:rsidRDefault="000C5BCA" w:rsidP="00A96C24">
      <w:pPr>
        <w:spacing w:after="0" w:line="360" w:lineRule="auto"/>
      </w:pPr>
      <w:r>
        <w:t>Se considera que la evidencia de auditoría obtenida brinda una base suficiente y apropiada para sustentar la opinión.</w:t>
      </w:r>
    </w:p>
    <w:p w:rsidR="000C5BCA" w:rsidRDefault="000C5BCA" w:rsidP="00A96C24">
      <w:pPr>
        <w:spacing w:after="0" w:line="360" w:lineRule="auto"/>
      </w:pPr>
    </w:p>
    <w:p w:rsidR="000C5BCA" w:rsidRDefault="000C5BCA" w:rsidP="00A96C24">
      <w:pPr>
        <w:pStyle w:val="Ttulo6"/>
        <w:rPr>
          <w:b w:val="0"/>
        </w:rPr>
      </w:pPr>
      <w:r>
        <w:rPr>
          <w:snapToGrid/>
        </w:rPr>
        <w:t>Opinión</w:t>
      </w:r>
    </w:p>
    <w:p w:rsidR="000C5BCA" w:rsidRDefault="000C5BCA" w:rsidP="00A96C24">
      <w:pPr>
        <w:spacing w:line="360" w:lineRule="auto"/>
        <w:rPr>
          <w:spacing w:val="-3"/>
          <w:lang w:val="es-ES_tradnl"/>
        </w:rPr>
      </w:pPr>
      <w:r>
        <w:rPr>
          <w:spacing w:val="-3"/>
          <w:lang w:val="es-ES_tradnl"/>
        </w:rPr>
        <w:t xml:space="preserve">En opinión del Tribunal de Cuentas, el estado mencionado presenta razonablemente en todos sus aspectos importantes, la ejecución presupuestal de la ANC, </w:t>
      </w:r>
      <w:r>
        <w:t>correspondiente al período 1 de enero al 31 de diciembre de 2013</w:t>
      </w:r>
      <w:r>
        <w:rPr>
          <w:spacing w:val="-3"/>
          <w:lang w:val="es-ES_tradnl"/>
        </w:rPr>
        <w:t>, de acuerdo con las disposiciones legales aplicables, las normas y criterios  establecidos en el TOCAF, en la Ordenanza N° 75 del Tribunal de Cuentas y en el Decreto aprobatorio del Presupuesto del Ejercicio 2013.</w:t>
      </w:r>
    </w:p>
    <w:p w:rsidR="000C5BCA" w:rsidRDefault="000C5BCA" w:rsidP="00A96C24">
      <w:pPr>
        <w:pStyle w:val="BodyText21"/>
        <w:tabs>
          <w:tab w:val="clear" w:pos="-720"/>
        </w:tabs>
        <w:suppressAutoHyphens w:val="0"/>
        <w:spacing w:line="360" w:lineRule="auto"/>
        <w:rPr>
          <w:rFonts w:ascii="Arial" w:hAnsi="Arial"/>
          <w:b/>
        </w:rPr>
      </w:pPr>
      <w:r>
        <w:rPr>
          <w:rFonts w:ascii="Arial" w:hAnsi="Arial"/>
          <w:b/>
        </w:rPr>
        <w:t>En relación a la normativa vigente, se constataron los siguientes incumplimientos:</w:t>
      </w:r>
    </w:p>
    <w:p w:rsidR="000C5BCA" w:rsidRDefault="000C5BCA" w:rsidP="00A96C24">
      <w:pPr>
        <w:pStyle w:val="BodyText21"/>
        <w:tabs>
          <w:tab w:val="clear" w:pos="-720"/>
        </w:tabs>
        <w:suppressAutoHyphens w:val="0"/>
        <w:spacing w:line="360" w:lineRule="auto"/>
        <w:ind w:left="708"/>
        <w:rPr>
          <w:rFonts w:ascii="Arial" w:hAnsi="Arial"/>
        </w:rPr>
      </w:pPr>
    </w:p>
    <w:p w:rsidR="000C5BCA" w:rsidRDefault="000C5BCA" w:rsidP="000C5BCA">
      <w:pPr>
        <w:pStyle w:val="Textoindependiente2"/>
        <w:numPr>
          <w:ilvl w:val="0"/>
          <w:numId w:val="3"/>
        </w:numPr>
        <w:rPr>
          <w:rFonts w:cs="Arial"/>
          <w:b/>
          <w:szCs w:val="24"/>
        </w:rPr>
      </w:pPr>
      <w:r>
        <w:rPr>
          <w:rFonts w:cs="Arial"/>
          <w:b/>
          <w:szCs w:val="24"/>
        </w:rPr>
        <w:t>Artículos 33 y 43 del TOCAF (Procedimiento de compra y Previsiones de necesidades de suministros y servicios del Ejercicio)</w:t>
      </w:r>
    </w:p>
    <w:p w:rsidR="000C5BCA" w:rsidRDefault="000C5BCA" w:rsidP="00A96C24">
      <w:pPr>
        <w:pStyle w:val="Textoindependiente2"/>
        <w:ind w:left="709"/>
        <w:rPr>
          <w:rFonts w:cs="Arial"/>
          <w:szCs w:val="24"/>
          <w:lang w:val="es-ES"/>
        </w:rPr>
      </w:pPr>
      <w:r>
        <w:rPr>
          <w:rFonts w:cs="Arial"/>
          <w:szCs w:val="24"/>
          <w:lang w:val="es-ES"/>
        </w:rPr>
        <w:t>Se contrataron en forma directa, superando el límite máximo para las adquisiciones establecidos por el TOCAF, diferentes suministros y servicios por parte del Ente.</w:t>
      </w:r>
    </w:p>
    <w:p w:rsidR="008C7B15" w:rsidRDefault="008C7B15" w:rsidP="00A96C24">
      <w:pPr>
        <w:pStyle w:val="Textoindependiente2"/>
        <w:ind w:left="709"/>
        <w:rPr>
          <w:rFonts w:cs="Arial"/>
          <w:szCs w:val="24"/>
          <w:lang w:val="es-ES"/>
        </w:rPr>
      </w:pPr>
    </w:p>
    <w:p w:rsidR="000C5BCA" w:rsidRDefault="000C5BCA" w:rsidP="00A96C24">
      <w:pPr>
        <w:pStyle w:val="Textoindependiente2"/>
        <w:ind w:left="709"/>
        <w:rPr>
          <w:rFonts w:cs="Arial"/>
          <w:szCs w:val="24"/>
          <w:lang w:val="es-ES"/>
        </w:rPr>
      </w:pPr>
      <w:r>
        <w:rPr>
          <w:rFonts w:cs="Arial"/>
          <w:szCs w:val="24"/>
          <w:lang w:val="es-ES"/>
        </w:rPr>
        <w:t xml:space="preserve">Las adquisiciones se realizaron aplicando los procedimientos de compra directa, sin tenerse en cuenta que los suministros se deben contratar por grupo de artículos y de forma de facilitar la presentación del mayor número posible de oferentes.  </w:t>
      </w:r>
    </w:p>
    <w:p w:rsidR="000C5BCA" w:rsidRDefault="000C5BCA" w:rsidP="000C5BCA">
      <w:pPr>
        <w:pStyle w:val="Textoindependiente21"/>
        <w:widowControl w:val="0"/>
        <w:numPr>
          <w:ilvl w:val="0"/>
          <w:numId w:val="4"/>
        </w:numPr>
        <w:shd w:val="clear" w:color="auto" w:fill="FFFFFF"/>
        <w:tabs>
          <w:tab w:val="clear" w:pos="1440"/>
          <w:tab w:val="left" w:pos="720"/>
        </w:tabs>
        <w:suppressAutoHyphens w:val="0"/>
        <w:ind w:left="720"/>
        <w:rPr>
          <w:rFonts w:ascii="Arial" w:hAnsi="Arial"/>
          <w:b w:val="0"/>
        </w:rPr>
      </w:pPr>
      <w:r>
        <w:rPr>
          <w:rFonts w:ascii="Arial" w:hAnsi="Arial"/>
        </w:rPr>
        <w:t>A</w:t>
      </w:r>
      <w:r>
        <w:rPr>
          <w:rFonts w:ascii="Arial" w:hAnsi="Arial"/>
          <w:snapToGrid w:val="0"/>
        </w:rPr>
        <w:t>rtículo 15 del</w:t>
      </w:r>
      <w:r w:rsidR="008C7B15">
        <w:rPr>
          <w:rFonts w:ascii="Arial" w:hAnsi="Arial"/>
          <w:snapToGrid w:val="0"/>
          <w:spacing w:val="-20"/>
        </w:rPr>
        <w:t xml:space="preserve"> TOCAF</w:t>
      </w:r>
    </w:p>
    <w:p w:rsidR="000C5BCA" w:rsidRDefault="000C5BCA" w:rsidP="00A96C24">
      <w:pPr>
        <w:pStyle w:val="Textoindependiente21"/>
        <w:widowControl w:val="0"/>
        <w:shd w:val="clear" w:color="auto" w:fill="FFFFFF"/>
        <w:tabs>
          <w:tab w:val="left" w:pos="720"/>
        </w:tabs>
        <w:suppressAutoHyphens w:val="0"/>
        <w:ind w:left="720"/>
        <w:rPr>
          <w:rFonts w:ascii="Arial" w:hAnsi="Arial"/>
          <w:b w:val="0"/>
        </w:rPr>
      </w:pPr>
      <w:r>
        <w:rPr>
          <w:rFonts w:ascii="Arial" w:hAnsi="Arial"/>
          <w:b w:val="0"/>
          <w:snapToGrid w:val="0"/>
          <w:spacing w:val="-20"/>
        </w:rPr>
        <w:t xml:space="preserve">Se han </w:t>
      </w:r>
      <w:r>
        <w:rPr>
          <w:rFonts w:ascii="Arial" w:hAnsi="Arial"/>
          <w:b w:val="0"/>
          <w:snapToGrid w:val="0"/>
        </w:rPr>
        <w:t xml:space="preserve">comprometido gastos </w:t>
      </w:r>
      <w:r>
        <w:rPr>
          <w:rFonts w:ascii="Arial" w:hAnsi="Arial"/>
          <w:b w:val="0"/>
          <w:snapToGrid w:val="0"/>
          <w:spacing w:val="-20"/>
        </w:rPr>
        <w:t xml:space="preserve">sin </w:t>
      </w:r>
      <w:r>
        <w:rPr>
          <w:rFonts w:ascii="Arial" w:hAnsi="Arial"/>
          <w:b w:val="0"/>
          <w:snapToGrid w:val="0"/>
        </w:rPr>
        <w:t>crédito</w:t>
      </w:r>
      <w:r>
        <w:rPr>
          <w:rFonts w:ascii="Arial" w:hAnsi="Arial"/>
          <w:b w:val="0"/>
          <w:snapToGrid w:val="0"/>
          <w:spacing w:val="-20"/>
        </w:rPr>
        <w:t xml:space="preserve"> </w:t>
      </w:r>
      <w:r>
        <w:rPr>
          <w:rFonts w:ascii="Arial" w:hAnsi="Arial"/>
          <w:b w:val="0"/>
          <w:snapToGrid w:val="0"/>
        </w:rPr>
        <w:t>disponible.</w:t>
      </w:r>
    </w:p>
    <w:p w:rsidR="000C5BCA" w:rsidRDefault="000C5BCA" w:rsidP="000C5BCA">
      <w:pPr>
        <w:pStyle w:val="BodyText21"/>
        <w:numPr>
          <w:ilvl w:val="0"/>
          <w:numId w:val="2"/>
        </w:numPr>
        <w:tabs>
          <w:tab w:val="clear" w:pos="-720"/>
        </w:tabs>
        <w:suppressAutoHyphens w:val="0"/>
        <w:spacing w:line="360" w:lineRule="auto"/>
        <w:rPr>
          <w:rFonts w:ascii="Arial" w:hAnsi="Arial"/>
          <w:b/>
        </w:rPr>
      </w:pPr>
      <w:r>
        <w:rPr>
          <w:rFonts w:ascii="Arial" w:hAnsi="Arial"/>
          <w:b/>
        </w:rPr>
        <w:t>Artículo 128 del TOCAF</w:t>
      </w:r>
    </w:p>
    <w:p w:rsidR="000C5BCA" w:rsidRDefault="000C5BCA" w:rsidP="00A96C24">
      <w:pPr>
        <w:pStyle w:val="BodyText21"/>
        <w:tabs>
          <w:tab w:val="clear" w:pos="-720"/>
        </w:tabs>
        <w:suppressAutoHyphens w:val="0"/>
        <w:spacing w:line="360" w:lineRule="auto"/>
        <w:ind w:left="720"/>
        <w:rPr>
          <w:rFonts w:ascii="Arial" w:hAnsi="Arial"/>
        </w:rPr>
      </w:pPr>
      <w:r>
        <w:rPr>
          <w:rFonts w:ascii="Arial" w:hAnsi="Arial"/>
        </w:rPr>
        <w:t>El Organismo no remitió el informe que detalle el grado de cumplimiento de los objetivos y metas programadas, señalando los previstos y alcanzados y su costo resultante.</w:t>
      </w:r>
    </w:p>
    <w:p w:rsidR="000C5BCA" w:rsidRDefault="000C5BCA" w:rsidP="000C5BCA">
      <w:pPr>
        <w:pStyle w:val="BodyText21"/>
        <w:numPr>
          <w:ilvl w:val="0"/>
          <w:numId w:val="2"/>
        </w:numPr>
        <w:tabs>
          <w:tab w:val="clear" w:pos="-720"/>
        </w:tabs>
        <w:suppressAutoHyphens w:val="0"/>
        <w:spacing w:line="360" w:lineRule="auto"/>
        <w:rPr>
          <w:rFonts w:ascii="Arial" w:hAnsi="Arial"/>
          <w:b/>
        </w:rPr>
      </w:pPr>
      <w:r>
        <w:rPr>
          <w:rFonts w:ascii="Arial" w:hAnsi="Arial"/>
          <w:b/>
          <w:spacing w:val="-12"/>
        </w:rPr>
        <w:t>Artículos 622 y 623 de la Ley Nº 17.296 y Artículo 51 de la Ley Nº</w:t>
      </w:r>
      <w:r>
        <w:rPr>
          <w:rFonts w:ascii="Arial" w:hAnsi="Arial"/>
          <w:b/>
        </w:rPr>
        <w:t xml:space="preserve"> 18.719</w:t>
      </w:r>
    </w:p>
    <w:p w:rsidR="000C5BCA" w:rsidRDefault="000C5BCA" w:rsidP="00A96C24">
      <w:pPr>
        <w:pStyle w:val="BodyText21"/>
        <w:tabs>
          <w:tab w:val="clear" w:pos="-720"/>
        </w:tabs>
        <w:suppressAutoHyphens w:val="0"/>
        <w:spacing w:line="360" w:lineRule="auto"/>
        <w:ind w:left="720"/>
        <w:rPr>
          <w:rFonts w:ascii="Arial" w:hAnsi="Arial"/>
        </w:rPr>
      </w:pPr>
      <w:r>
        <w:rPr>
          <w:rFonts w:ascii="Arial" w:hAnsi="Arial"/>
        </w:rPr>
        <w:t>No se regularizó la situación de un pasante que ha permanecido en la ANC por un período mayor al establecido por la Ley.</w:t>
      </w:r>
    </w:p>
    <w:p w:rsidR="000C5BCA" w:rsidRDefault="000C5BCA" w:rsidP="00A96C24">
      <w:pPr>
        <w:pStyle w:val="Textoindependiente"/>
        <w:widowControl w:val="0"/>
        <w:shd w:val="clear" w:color="auto" w:fill="FFFFFF"/>
        <w:jc w:val="right"/>
        <w:rPr>
          <w:rFonts w:ascii="Arial" w:hAnsi="Arial"/>
          <w:b/>
        </w:rPr>
      </w:pPr>
      <w:r>
        <w:rPr>
          <w:rFonts w:ascii="Arial" w:hAnsi="Arial"/>
        </w:rPr>
        <w:t>Mo</w:t>
      </w:r>
      <w:r w:rsidR="0052352A">
        <w:rPr>
          <w:rFonts w:ascii="Arial" w:hAnsi="Arial"/>
        </w:rPr>
        <w:t>ntevideo, 14 de octubre de 2014</w:t>
      </w:r>
    </w:p>
    <w:p w:rsidR="000C5BCA" w:rsidRDefault="000C5BCA"/>
    <w:p w:rsidR="000C5BCA" w:rsidRDefault="000C5BCA" w:rsidP="00A96C24">
      <w:pPr>
        <w:pStyle w:val="Ttulo5"/>
        <w:keepLines/>
        <w:tabs>
          <w:tab w:val="left" w:pos="0"/>
        </w:tabs>
        <w:jc w:val="center"/>
        <w:rPr>
          <w:lang w:val="es-ES_tradnl"/>
        </w:rPr>
      </w:pPr>
      <w:r>
        <w:rPr>
          <w:lang w:val="es-ES_tradnl"/>
        </w:rPr>
        <w:t>INFORME A LA ADMINISTRACIÓN</w:t>
      </w:r>
    </w:p>
    <w:p w:rsidR="000C5BCA" w:rsidRDefault="000C5BCA" w:rsidP="00A96C24">
      <w:pPr>
        <w:pStyle w:val="Textoindependiente"/>
        <w:rPr>
          <w:rFonts w:ascii="Arial" w:hAnsi="Arial"/>
        </w:rPr>
      </w:pPr>
    </w:p>
    <w:p w:rsidR="000C5BCA" w:rsidRDefault="000C5BCA" w:rsidP="00A96C24">
      <w:pPr>
        <w:pStyle w:val="Textoindependiente"/>
        <w:rPr>
          <w:rFonts w:ascii="Arial" w:hAnsi="Arial"/>
        </w:rPr>
      </w:pPr>
      <w:r>
        <w:rPr>
          <w:rFonts w:ascii="Arial" w:hAnsi="Arial"/>
        </w:rPr>
        <w:t>El Tribunal de Cuentas ha examinado el Estado de Ejecución Presupuestal de la Administración Nacional de Correos correspondiente al Ejercicio finalizado el 31 de diciembre de 2013 y ha emitido su Dictamen.</w:t>
      </w:r>
    </w:p>
    <w:p w:rsidR="000C5BCA" w:rsidRDefault="000C5BCA" w:rsidP="00A96C24">
      <w:pPr>
        <w:pStyle w:val="Sangradetextonormal"/>
        <w:widowControl/>
        <w:tabs>
          <w:tab w:val="clear" w:pos="-720"/>
          <w:tab w:val="left" w:pos="0"/>
        </w:tabs>
        <w:spacing w:line="360" w:lineRule="auto"/>
        <w:rPr>
          <w:rFonts w:ascii="Arial" w:hAnsi="Arial"/>
          <w:spacing w:val="0"/>
          <w:lang w:val="es-ES"/>
        </w:rPr>
      </w:pPr>
      <w:r>
        <w:rPr>
          <w:rFonts w:ascii="Arial" w:hAnsi="Arial"/>
          <w:spacing w:val="0"/>
          <w:lang w:val="es-ES"/>
        </w:rPr>
        <w:t>Este informe incluye comentarios que se ha entendido conveniente exponer, relacionados a la situación de determinados capítulos y rubros del estado examinado y a disposiciones legales vigentes.</w:t>
      </w:r>
    </w:p>
    <w:p w:rsidR="000C5BCA" w:rsidRDefault="000C5BCA" w:rsidP="00A96C24">
      <w:pPr>
        <w:pStyle w:val="Sangradetextonormal"/>
        <w:widowControl/>
        <w:tabs>
          <w:tab w:val="clear" w:pos="-720"/>
          <w:tab w:val="left" w:pos="0"/>
        </w:tabs>
        <w:spacing w:line="360" w:lineRule="auto"/>
        <w:rPr>
          <w:rFonts w:ascii="Arial" w:hAnsi="Arial"/>
          <w:spacing w:val="0"/>
          <w:lang w:val="es-ES"/>
        </w:rPr>
      </w:pPr>
      <w:r>
        <w:rPr>
          <w:rFonts w:ascii="Arial" w:hAnsi="Arial"/>
          <w:spacing w:val="0"/>
          <w:lang w:val="es-ES"/>
        </w:rPr>
        <w:t>También se agregan las principales recomendaciones que deberá atender el Organismo.</w:t>
      </w:r>
    </w:p>
    <w:p w:rsidR="000C5BCA" w:rsidRDefault="000C5BCA" w:rsidP="00A96C24">
      <w:pPr>
        <w:pStyle w:val="Sangradetextonormal"/>
        <w:widowControl/>
        <w:tabs>
          <w:tab w:val="clear" w:pos="-720"/>
          <w:tab w:val="left" w:pos="0"/>
        </w:tabs>
        <w:spacing w:line="360" w:lineRule="auto"/>
        <w:rPr>
          <w:rFonts w:ascii="Arial" w:hAnsi="Arial"/>
          <w:spacing w:val="0"/>
          <w:lang w:val="es-ES"/>
        </w:rPr>
      </w:pPr>
    </w:p>
    <w:p w:rsidR="000C5BCA" w:rsidRDefault="000C5BCA" w:rsidP="000C5BCA">
      <w:pPr>
        <w:pStyle w:val="Sangradetextonormal"/>
        <w:widowControl/>
        <w:numPr>
          <w:ilvl w:val="0"/>
          <w:numId w:val="5"/>
        </w:numPr>
        <w:tabs>
          <w:tab w:val="clear" w:pos="-720"/>
          <w:tab w:val="clear" w:pos="720"/>
          <w:tab w:val="left" w:pos="0"/>
          <w:tab w:val="num" w:pos="360"/>
        </w:tabs>
        <w:spacing w:line="360" w:lineRule="auto"/>
        <w:ind w:hanging="720"/>
        <w:rPr>
          <w:rFonts w:ascii="Arial" w:hAnsi="Arial"/>
          <w:b/>
          <w:spacing w:val="0"/>
          <w:lang w:val="es-ES"/>
        </w:rPr>
      </w:pPr>
      <w:r>
        <w:rPr>
          <w:rFonts w:ascii="Arial" w:hAnsi="Arial"/>
          <w:b/>
          <w:spacing w:val="0"/>
          <w:lang w:val="es-ES"/>
        </w:rPr>
        <w:t>Aprobación y presentación del Estado de Ejecución Presupuestal</w:t>
      </w:r>
    </w:p>
    <w:p w:rsidR="000C5BCA" w:rsidRDefault="000C5BCA" w:rsidP="00A96C24">
      <w:pPr>
        <w:pStyle w:val="Sangradetextonormal"/>
        <w:tabs>
          <w:tab w:val="clear" w:pos="-720"/>
        </w:tabs>
        <w:suppressAutoHyphens w:val="0"/>
        <w:spacing w:line="360" w:lineRule="auto"/>
        <w:rPr>
          <w:rFonts w:ascii="Arial" w:hAnsi="Arial"/>
          <w:spacing w:val="0"/>
          <w:lang w:val="es-ES"/>
        </w:rPr>
      </w:pPr>
      <w:r>
        <w:rPr>
          <w:rFonts w:ascii="Arial" w:hAnsi="Arial"/>
          <w:spacing w:val="0"/>
          <w:lang w:val="es-ES"/>
        </w:rPr>
        <w:t>El mencionado Estado de Ejecución fue aprobado por Resolución de Directorio de fecha 23/05/14, según RD Nº 128/2014 y remitido al Tribunal de Cuentas el 27/05/14.</w:t>
      </w:r>
    </w:p>
    <w:p w:rsidR="000C5BCA" w:rsidRDefault="000C5BCA" w:rsidP="00A96C24">
      <w:pPr>
        <w:pStyle w:val="Sangradetextonormal"/>
        <w:tabs>
          <w:tab w:val="clear" w:pos="-720"/>
        </w:tabs>
        <w:suppressAutoHyphens w:val="0"/>
        <w:spacing w:line="360" w:lineRule="auto"/>
        <w:rPr>
          <w:rFonts w:ascii="Arial" w:hAnsi="Arial"/>
          <w:spacing w:val="0"/>
          <w:lang w:val="es-ES"/>
        </w:rPr>
      </w:pPr>
      <w:r>
        <w:rPr>
          <w:rFonts w:ascii="Arial" w:hAnsi="Arial"/>
          <w:spacing w:val="0"/>
          <w:lang w:val="es-ES"/>
        </w:rPr>
        <w:t xml:space="preserve"> </w:t>
      </w:r>
    </w:p>
    <w:p w:rsidR="000C5BCA" w:rsidRDefault="000C5BCA" w:rsidP="000C5BCA">
      <w:pPr>
        <w:pStyle w:val="Sangradetextonormal"/>
        <w:widowControl/>
        <w:numPr>
          <w:ilvl w:val="0"/>
          <w:numId w:val="5"/>
        </w:numPr>
        <w:tabs>
          <w:tab w:val="clear" w:pos="-720"/>
          <w:tab w:val="clear" w:pos="720"/>
          <w:tab w:val="left" w:pos="0"/>
          <w:tab w:val="num" w:pos="360"/>
        </w:tabs>
        <w:spacing w:line="360" w:lineRule="auto"/>
        <w:ind w:hanging="720"/>
        <w:rPr>
          <w:rFonts w:ascii="Arial" w:hAnsi="Arial"/>
          <w:b/>
          <w:spacing w:val="0"/>
          <w:lang w:val="es-ES"/>
        </w:rPr>
      </w:pPr>
      <w:r>
        <w:rPr>
          <w:rFonts w:ascii="Arial" w:hAnsi="Arial"/>
          <w:b/>
          <w:spacing w:val="0"/>
          <w:lang w:val="es-ES"/>
        </w:rPr>
        <w:t>Situaciones constatadas</w:t>
      </w:r>
    </w:p>
    <w:p w:rsidR="0052352A" w:rsidRDefault="0052352A" w:rsidP="0052352A">
      <w:pPr>
        <w:pStyle w:val="Sangradetextonormal"/>
        <w:widowControl/>
        <w:tabs>
          <w:tab w:val="clear" w:pos="-720"/>
          <w:tab w:val="left" w:pos="0"/>
        </w:tabs>
        <w:spacing w:line="360" w:lineRule="auto"/>
        <w:ind w:left="720"/>
        <w:rPr>
          <w:rFonts w:ascii="Arial" w:hAnsi="Arial"/>
          <w:b/>
          <w:spacing w:val="0"/>
          <w:lang w:val="es-ES"/>
        </w:rPr>
      </w:pPr>
    </w:p>
    <w:p w:rsidR="000C5BCA" w:rsidRDefault="000C5BCA" w:rsidP="00A96C24">
      <w:pPr>
        <w:pStyle w:val="Sangradetextonormal"/>
        <w:widowControl/>
        <w:tabs>
          <w:tab w:val="clear" w:pos="-720"/>
        </w:tabs>
        <w:suppressAutoHyphens w:val="0"/>
        <w:spacing w:line="360" w:lineRule="auto"/>
        <w:rPr>
          <w:rFonts w:ascii="Arial" w:hAnsi="Arial"/>
        </w:rPr>
      </w:pPr>
      <w:r>
        <w:rPr>
          <w:rFonts w:ascii="Arial" w:hAnsi="Arial"/>
          <w:b/>
          <w:lang w:val="es-ES"/>
        </w:rPr>
        <w:t>2</w:t>
      </w:r>
      <w:r>
        <w:rPr>
          <w:rFonts w:ascii="Arial" w:hAnsi="Arial"/>
          <w:b/>
        </w:rPr>
        <w:t>.1</w:t>
      </w:r>
      <w:r>
        <w:rPr>
          <w:rFonts w:ascii="Arial" w:hAnsi="Arial"/>
        </w:rPr>
        <w:t xml:space="preserve"> El Organismo continúa sin remitir junto al Estado de Ejecución Presupuestal el informe detallado del grado de cumplimiento de los objetivos y metas programadas, señalando los previstos y alcanzados y su costo resultante como lo establece el Artículo 128 del TOCAF.</w:t>
      </w:r>
    </w:p>
    <w:p w:rsidR="000C5BCA" w:rsidRDefault="000C5BCA" w:rsidP="00A96C24">
      <w:pPr>
        <w:pStyle w:val="Sangradetextonormal"/>
        <w:widowControl/>
        <w:tabs>
          <w:tab w:val="clear" w:pos="-720"/>
        </w:tabs>
        <w:suppressAutoHyphens w:val="0"/>
        <w:spacing w:line="360" w:lineRule="auto"/>
        <w:rPr>
          <w:rFonts w:ascii="Arial" w:hAnsi="Arial"/>
        </w:rPr>
      </w:pPr>
      <w:r>
        <w:rPr>
          <w:rFonts w:ascii="Arial" w:hAnsi="Arial"/>
          <w:b/>
        </w:rPr>
        <w:t>2.2</w:t>
      </w:r>
      <w:r>
        <w:rPr>
          <w:rFonts w:ascii="Arial" w:hAnsi="Arial"/>
        </w:rPr>
        <w:t xml:space="preserve"> Un pasante que ingresó el 16/6/2009 sigue prestando servicios bajo ese régimen al 31/12/2013, excediendo los plazos establecidos en la reglamentación vigente.</w:t>
      </w:r>
    </w:p>
    <w:p w:rsidR="000C5BCA" w:rsidRDefault="000C5BCA" w:rsidP="00A96C24">
      <w:pPr>
        <w:pStyle w:val="Sangradetextonormal"/>
        <w:widowControl/>
        <w:tabs>
          <w:tab w:val="clear" w:pos="-720"/>
        </w:tabs>
        <w:suppressAutoHyphens w:val="0"/>
        <w:spacing w:line="360" w:lineRule="auto"/>
        <w:rPr>
          <w:rFonts w:ascii="Arial" w:hAnsi="Arial"/>
        </w:rPr>
      </w:pPr>
      <w:r>
        <w:rPr>
          <w:rFonts w:ascii="Arial" w:hAnsi="Arial"/>
          <w:b/>
        </w:rPr>
        <w:t>2.3</w:t>
      </w:r>
      <w:r>
        <w:rPr>
          <w:rFonts w:ascii="Arial" w:hAnsi="Arial"/>
        </w:rPr>
        <w:t xml:space="preserve"> La Ejecución Presupuestal presentada se realizó tomando las asignaciones presupuestales adecuadas a precios de enero-diciembre 2013, las que no contaban con el informe favorable de la OPP, habiéndose incumplido con lo dispuesto por los Artículos 4 y 5 del Decreto 349/13 correspondiente al Presupuesto 2013 de la ANC. Asimismo, al realizar la adecuación a precios enero-diciembre, no fueron tomadas en cuentas las trasposiciones realizadas en el ejercicio hasta el momento de efectuar la misma.</w:t>
      </w:r>
    </w:p>
    <w:p w:rsidR="000C5BCA" w:rsidRDefault="000C5BCA" w:rsidP="00A96C24">
      <w:pPr>
        <w:pStyle w:val="Sangradetextonormal"/>
        <w:widowControl/>
        <w:tabs>
          <w:tab w:val="clear" w:pos="-720"/>
        </w:tabs>
        <w:suppressAutoHyphens w:val="0"/>
        <w:spacing w:line="360" w:lineRule="auto"/>
        <w:rPr>
          <w:rFonts w:ascii="Arial" w:hAnsi="Arial" w:cs="Arial"/>
          <w:szCs w:val="24"/>
        </w:rPr>
      </w:pPr>
      <w:r>
        <w:rPr>
          <w:rFonts w:ascii="Arial" w:hAnsi="Arial"/>
          <w:b/>
        </w:rPr>
        <w:t>2.4</w:t>
      </w:r>
      <w:r>
        <w:rPr>
          <w:rFonts w:ascii="Arial" w:hAnsi="Arial"/>
        </w:rPr>
        <w:t xml:space="preserve"> En el</w:t>
      </w:r>
      <w:r>
        <w:rPr>
          <w:rFonts w:ascii="Arial" w:hAnsi="Arial" w:cs="Arial"/>
          <w:snapToGrid w:val="0"/>
          <w:szCs w:val="24"/>
        </w:rPr>
        <w:t xml:space="preserve"> Ejercicio 2013 se efectuaron compras directas que superan </w:t>
      </w:r>
      <w:r>
        <w:rPr>
          <w:rFonts w:ascii="Arial" w:hAnsi="Arial" w:cs="Arial"/>
          <w:szCs w:val="24"/>
          <w:lang w:val="es-ES"/>
        </w:rPr>
        <w:t>el tope admitido por el TOCAF para compra directa ampliada según el siguiente detalle:</w:t>
      </w:r>
      <w:r>
        <w:rPr>
          <w:rFonts w:ascii="Arial" w:hAnsi="Arial" w:cs="Arial"/>
          <w:snapToGrid w:val="0"/>
          <w:szCs w:val="24"/>
        </w:rPr>
        <w:t xml:space="preserve"> </w:t>
      </w:r>
      <w:r>
        <w:rPr>
          <w:rFonts w:ascii="Arial" w:hAnsi="Arial" w:cs="Arial"/>
          <w:szCs w:val="24"/>
          <w:lang w:val="es-ES"/>
        </w:rPr>
        <w:t>empresas transportistas</w:t>
      </w:r>
      <w:r>
        <w:rPr>
          <w:rFonts w:ascii="Arial" w:hAnsi="Arial" w:cs="Arial"/>
          <w:szCs w:val="24"/>
        </w:rPr>
        <w:t xml:space="preserve"> por $ 15:164.018, </w:t>
      </w:r>
      <w:r>
        <w:rPr>
          <w:rFonts w:ascii="Arial" w:hAnsi="Arial" w:cs="Arial"/>
          <w:spacing w:val="8"/>
          <w:szCs w:val="24"/>
        </w:rPr>
        <w:t xml:space="preserve">empresas de alquiler de vehículos por $ 2:962.022, empresas de limpieza </w:t>
      </w:r>
      <w:r>
        <w:rPr>
          <w:rFonts w:ascii="Arial" w:hAnsi="Arial" w:cs="Arial"/>
          <w:spacing w:val="16"/>
          <w:szCs w:val="24"/>
        </w:rPr>
        <w:t>por $ 5:471.021, empresas de sistemas y equipos informáticos por $</w:t>
      </w:r>
      <w:r>
        <w:rPr>
          <w:rFonts w:ascii="Arial" w:hAnsi="Arial" w:cs="Arial"/>
          <w:szCs w:val="24"/>
        </w:rPr>
        <w:t xml:space="preserve"> 10:835.286.</w:t>
      </w:r>
    </w:p>
    <w:p w:rsidR="000C5BCA" w:rsidRDefault="000C5BCA" w:rsidP="00A96C24">
      <w:pPr>
        <w:spacing w:line="360" w:lineRule="auto"/>
        <w:rPr>
          <w:rFonts w:cs="Arial"/>
        </w:rPr>
      </w:pPr>
      <w:r>
        <w:rPr>
          <w:rFonts w:cs="Arial"/>
        </w:rPr>
        <w:t>Al haber superado en estos casos el límite de la compra directa ampliada, se debieron utilizar los procedimientos correspondientes, de acuerdo con lo establecido en el Artículo 33 del TOCAF.</w:t>
      </w:r>
    </w:p>
    <w:p w:rsidR="0052352A" w:rsidRDefault="0052352A" w:rsidP="00A96C24">
      <w:pPr>
        <w:spacing w:line="360" w:lineRule="auto"/>
        <w:rPr>
          <w:rFonts w:cs="Arial"/>
        </w:rPr>
      </w:pPr>
    </w:p>
    <w:p w:rsidR="000C5BCA" w:rsidRDefault="000C5BCA" w:rsidP="000C5BCA">
      <w:pPr>
        <w:numPr>
          <w:ilvl w:val="0"/>
          <w:numId w:val="5"/>
        </w:numPr>
        <w:tabs>
          <w:tab w:val="clear" w:pos="720"/>
          <w:tab w:val="num" w:pos="426"/>
        </w:tabs>
        <w:spacing w:line="360" w:lineRule="auto"/>
        <w:ind w:hanging="720"/>
        <w:rPr>
          <w:rFonts w:cs="Arial"/>
          <w:b/>
        </w:rPr>
      </w:pPr>
      <w:r>
        <w:rPr>
          <w:rFonts w:cs="Arial"/>
          <w:b/>
        </w:rPr>
        <w:t>Evaluación de Control Interno</w:t>
      </w:r>
    </w:p>
    <w:p w:rsidR="000C5BCA" w:rsidRDefault="000C5BCA" w:rsidP="00A96C24">
      <w:pPr>
        <w:pStyle w:val="Sangradetextonormal"/>
        <w:spacing w:line="360" w:lineRule="auto"/>
        <w:ind w:left="426"/>
        <w:rPr>
          <w:rFonts w:ascii="Arial" w:hAnsi="Arial" w:cs="Arial"/>
        </w:rPr>
      </w:pPr>
      <w:r>
        <w:rPr>
          <w:rFonts w:ascii="Arial" w:hAnsi="Arial" w:cs="Arial"/>
        </w:rPr>
        <w:t>Del relevamiento realizado al área de Retribuciones Personales resultan las siguientes debilidades:</w:t>
      </w:r>
    </w:p>
    <w:p w:rsidR="000C5BCA" w:rsidRDefault="000C5BCA" w:rsidP="000C5BCA">
      <w:pPr>
        <w:pStyle w:val="Sangradetextonormal"/>
        <w:widowControl/>
        <w:numPr>
          <w:ilvl w:val="0"/>
          <w:numId w:val="6"/>
        </w:numPr>
        <w:tabs>
          <w:tab w:val="clear" w:pos="-720"/>
        </w:tabs>
        <w:suppressAutoHyphens w:val="0"/>
        <w:spacing w:line="360" w:lineRule="auto"/>
        <w:rPr>
          <w:rFonts w:ascii="Arial" w:hAnsi="Arial" w:cs="Arial"/>
        </w:rPr>
      </w:pPr>
      <w:r>
        <w:rPr>
          <w:rFonts w:ascii="Arial" w:hAnsi="Arial" w:cs="Arial"/>
        </w:rPr>
        <w:t>No hay restricción al acceso del archivo de pagos, programas y registros relacionados.</w:t>
      </w:r>
    </w:p>
    <w:p w:rsidR="000C5BCA" w:rsidRDefault="000C5BCA" w:rsidP="000C5BCA">
      <w:pPr>
        <w:numPr>
          <w:ilvl w:val="0"/>
          <w:numId w:val="6"/>
        </w:numPr>
        <w:spacing w:line="360" w:lineRule="auto"/>
        <w:rPr>
          <w:rFonts w:cs="Arial"/>
        </w:rPr>
      </w:pPr>
      <w:r>
        <w:t>La nómina no está debidamente aprobada con anterioridad a la distribución de los cheques o acreditación en las cuentas de los funcionarios.</w:t>
      </w:r>
    </w:p>
    <w:p w:rsidR="000C5BCA" w:rsidRDefault="000C5BCA" w:rsidP="000C5BCA">
      <w:pPr>
        <w:pStyle w:val="Sangradetextonormal"/>
        <w:widowControl/>
        <w:numPr>
          <w:ilvl w:val="0"/>
          <w:numId w:val="5"/>
        </w:numPr>
        <w:tabs>
          <w:tab w:val="clear" w:pos="-720"/>
          <w:tab w:val="clear" w:pos="720"/>
        </w:tabs>
        <w:suppressAutoHyphens w:val="0"/>
        <w:spacing w:line="360" w:lineRule="auto"/>
        <w:ind w:left="851" w:hanging="851"/>
        <w:rPr>
          <w:rFonts w:ascii="Arial" w:hAnsi="Arial"/>
          <w:b/>
        </w:rPr>
      </w:pPr>
      <w:r>
        <w:rPr>
          <w:rFonts w:ascii="Arial" w:hAnsi="Arial"/>
          <w:b/>
        </w:rPr>
        <w:t>Recomendaciones</w:t>
      </w:r>
    </w:p>
    <w:p w:rsidR="000C5BCA" w:rsidRDefault="000C5BCA" w:rsidP="000C5BCA">
      <w:pPr>
        <w:pStyle w:val="Textoindependiente"/>
        <w:numPr>
          <w:ilvl w:val="1"/>
          <w:numId w:val="7"/>
        </w:numPr>
        <w:tabs>
          <w:tab w:val="left" w:pos="284"/>
        </w:tabs>
        <w:ind w:hanging="645"/>
        <w:rPr>
          <w:rFonts w:ascii="Arial" w:hAnsi="Arial"/>
          <w:b/>
        </w:rPr>
      </w:pPr>
      <w:r>
        <w:rPr>
          <w:rFonts w:ascii="Arial" w:hAnsi="Arial"/>
          <w:b/>
        </w:rPr>
        <w:t>Recomendaciones de Ejercicios anteriores</w:t>
      </w:r>
    </w:p>
    <w:p w:rsidR="000C5BCA" w:rsidRDefault="000C5BCA" w:rsidP="00A96C24">
      <w:pPr>
        <w:pStyle w:val="Textoindependiente"/>
        <w:tabs>
          <w:tab w:val="left" w:pos="851"/>
        </w:tabs>
        <w:ind w:left="570" w:hanging="570"/>
        <w:rPr>
          <w:rFonts w:ascii="Arial" w:hAnsi="Arial"/>
          <w:b/>
        </w:rPr>
      </w:pPr>
      <w:r>
        <w:rPr>
          <w:rFonts w:ascii="Arial" w:hAnsi="Arial"/>
          <w:b/>
        </w:rPr>
        <w:t>4.1.1 Cumplidas</w:t>
      </w:r>
    </w:p>
    <w:p w:rsidR="000C5BCA" w:rsidRDefault="000C5BCA" w:rsidP="00A96C24">
      <w:pPr>
        <w:pStyle w:val="Textoindependiente"/>
        <w:ind w:left="851" w:hanging="851"/>
        <w:rPr>
          <w:rFonts w:ascii="Arial" w:hAnsi="Arial"/>
        </w:rPr>
      </w:pPr>
      <w:r>
        <w:rPr>
          <w:rFonts w:ascii="Arial" w:hAnsi="Arial"/>
          <w:b/>
        </w:rPr>
        <w:t>4.1.1.1</w:t>
      </w:r>
      <w:r>
        <w:rPr>
          <w:rFonts w:ascii="Arial" w:hAnsi="Arial"/>
        </w:rPr>
        <w:t xml:space="preserve"> Se contabilizaron los egresos presupuestales de acuerdo al Clasificador por Objeto del Gasto de manera que el Estado de Ejecución Presupuestal resulte de la contabilidad presupuestal (Decreto Nº395/98 y Resolución del MEF del 31/12/98).</w:t>
      </w:r>
    </w:p>
    <w:p w:rsidR="000C5BCA" w:rsidRDefault="000C5BCA" w:rsidP="00A96C24">
      <w:pPr>
        <w:pStyle w:val="Textoindependiente"/>
        <w:ind w:left="851" w:hanging="851"/>
        <w:rPr>
          <w:rFonts w:ascii="Arial" w:hAnsi="Arial"/>
        </w:rPr>
      </w:pPr>
      <w:r>
        <w:rPr>
          <w:rFonts w:ascii="Arial" w:hAnsi="Arial"/>
          <w:b/>
        </w:rPr>
        <w:t>4.1.1.2</w:t>
      </w:r>
      <w:r>
        <w:rPr>
          <w:rFonts w:ascii="Arial" w:hAnsi="Arial"/>
        </w:rPr>
        <w:t xml:space="preserve">  Se tuvo en cuenta al momento de contratar personal, lo establecido en el Artículo 49 de la Ley Nº 18.651, en relación a la contratación de personal con capacidades diferentes.</w:t>
      </w:r>
    </w:p>
    <w:p w:rsidR="000C5BCA" w:rsidRDefault="000C5BCA" w:rsidP="00A96C24">
      <w:pPr>
        <w:pStyle w:val="Textoindependiente"/>
        <w:ind w:left="851" w:hanging="851"/>
        <w:rPr>
          <w:rFonts w:ascii="Arial" w:hAnsi="Arial"/>
        </w:rPr>
      </w:pPr>
      <w:r>
        <w:rPr>
          <w:rFonts w:ascii="Arial" w:hAnsi="Arial"/>
          <w:b/>
        </w:rPr>
        <w:t>4.1.1.3</w:t>
      </w:r>
      <w:r>
        <w:rPr>
          <w:rFonts w:ascii="Arial" w:hAnsi="Arial"/>
        </w:rPr>
        <w:t xml:space="preserve"> Se imputó en el rubro “Sentencias” el total devengando en el     Ejercicio.</w:t>
      </w:r>
    </w:p>
    <w:p w:rsidR="000C5BCA" w:rsidRDefault="000C5BCA" w:rsidP="000C5BCA">
      <w:pPr>
        <w:pStyle w:val="Textoindependiente"/>
        <w:numPr>
          <w:ilvl w:val="2"/>
          <w:numId w:val="8"/>
        </w:numPr>
        <w:tabs>
          <w:tab w:val="left" w:pos="851"/>
        </w:tabs>
        <w:ind w:hanging="2010"/>
        <w:rPr>
          <w:rFonts w:ascii="Arial" w:hAnsi="Arial"/>
          <w:b/>
        </w:rPr>
      </w:pPr>
      <w:r>
        <w:rPr>
          <w:rFonts w:ascii="Arial" w:hAnsi="Arial"/>
          <w:b/>
        </w:rPr>
        <w:t>No Cumplidas</w:t>
      </w:r>
    </w:p>
    <w:p w:rsidR="000C5BCA" w:rsidRDefault="000C5BCA" w:rsidP="00A96C24">
      <w:pPr>
        <w:pStyle w:val="Textoindependiente"/>
        <w:ind w:left="840" w:hanging="840"/>
        <w:rPr>
          <w:rFonts w:ascii="Arial" w:hAnsi="Arial"/>
        </w:rPr>
      </w:pPr>
      <w:r>
        <w:rPr>
          <w:rFonts w:ascii="Arial" w:hAnsi="Arial"/>
          <w:b/>
        </w:rPr>
        <w:t xml:space="preserve">4.1.2.1 </w:t>
      </w:r>
      <w:r>
        <w:rPr>
          <w:rFonts w:ascii="Arial" w:hAnsi="Arial"/>
        </w:rPr>
        <w:t>Presentar un informe que detalle el grado de cumplimiento de los objetivos y metas programadas, señalando los previstos y alcanzados y su costo resultante (Artículo 128 del TOCAF)</w:t>
      </w:r>
    </w:p>
    <w:p w:rsidR="000C5BCA" w:rsidRDefault="000C5BCA" w:rsidP="00A96C24">
      <w:pPr>
        <w:pStyle w:val="Textoindependiente"/>
        <w:ind w:left="851" w:hanging="851"/>
        <w:rPr>
          <w:rFonts w:ascii="Arial" w:hAnsi="Arial"/>
          <w:lang w:val="es-AR"/>
        </w:rPr>
      </w:pPr>
      <w:r>
        <w:rPr>
          <w:rFonts w:ascii="Arial" w:hAnsi="Arial"/>
          <w:b/>
        </w:rPr>
        <w:t xml:space="preserve">4.1.2.2 </w:t>
      </w:r>
      <w:r>
        <w:rPr>
          <w:rFonts w:ascii="Arial" w:hAnsi="Arial"/>
        </w:rPr>
        <w:t>Regularizar las contrataciones de los pasantes que han permanecido en la ANC por un período mayor a los establecidos en las reglamentaciones correspondientes. (</w:t>
      </w:r>
      <w:r>
        <w:rPr>
          <w:rFonts w:ascii="Arial" w:hAnsi="Arial"/>
          <w:lang w:val="es-AR"/>
        </w:rPr>
        <w:t>Artículos 622 y 623 de la Ley            Nº 17.296 y Artículo 51 de la Ley Nº 18.719).</w:t>
      </w:r>
    </w:p>
    <w:p w:rsidR="000C5BCA" w:rsidRDefault="000C5BCA" w:rsidP="00A96C24">
      <w:pPr>
        <w:pStyle w:val="Textoindependiente"/>
        <w:ind w:left="851" w:hanging="851"/>
        <w:rPr>
          <w:rFonts w:ascii="Arial" w:hAnsi="Arial"/>
          <w:lang w:val="es-AR"/>
        </w:rPr>
      </w:pPr>
      <w:r>
        <w:rPr>
          <w:rFonts w:ascii="Arial" w:hAnsi="Arial"/>
          <w:b/>
          <w:lang w:val="es-AR"/>
        </w:rPr>
        <w:t>4</w:t>
      </w:r>
      <w:r>
        <w:rPr>
          <w:rFonts w:ascii="Arial" w:hAnsi="Arial"/>
          <w:b/>
        </w:rPr>
        <w:t xml:space="preserve">.1.2.3 </w:t>
      </w:r>
      <w:r>
        <w:rPr>
          <w:rFonts w:ascii="Arial" w:hAnsi="Arial"/>
          <w:lang w:val="es-AR"/>
        </w:rPr>
        <w:t>Realizar las contrataciones de suministros y servicios de acuerdo con los procedimientos establecidos por el TOCAF.</w:t>
      </w:r>
    </w:p>
    <w:p w:rsidR="000C5BCA" w:rsidRDefault="000C5BCA" w:rsidP="00A96C24">
      <w:pPr>
        <w:pStyle w:val="Textoindependiente"/>
        <w:ind w:left="851" w:hanging="851"/>
        <w:rPr>
          <w:rFonts w:ascii="Arial" w:hAnsi="Arial"/>
        </w:rPr>
      </w:pPr>
    </w:p>
    <w:p w:rsidR="000C5BCA" w:rsidRDefault="000C5BCA" w:rsidP="00A96C24">
      <w:pPr>
        <w:pStyle w:val="Textoindependiente"/>
        <w:tabs>
          <w:tab w:val="left" w:pos="284"/>
        </w:tabs>
        <w:ind w:left="285" w:hanging="285"/>
        <w:rPr>
          <w:rFonts w:ascii="Arial" w:hAnsi="Arial"/>
          <w:b/>
        </w:rPr>
      </w:pPr>
      <w:r>
        <w:rPr>
          <w:rFonts w:ascii="Arial" w:hAnsi="Arial"/>
          <w:b/>
        </w:rPr>
        <w:t>4.2  Recomendaciones del presente Ejercicio</w:t>
      </w:r>
    </w:p>
    <w:p w:rsidR="000C5BCA" w:rsidRDefault="000C5BCA" w:rsidP="00A96C24">
      <w:pPr>
        <w:pStyle w:val="Textoindependiente"/>
        <w:tabs>
          <w:tab w:val="left" w:pos="567"/>
        </w:tabs>
        <w:ind w:left="720"/>
        <w:rPr>
          <w:rFonts w:ascii="Arial" w:hAnsi="Arial"/>
        </w:rPr>
      </w:pPr>
      <w:r>
        <w:rPr>
          <w:rFonts w:ascii="Arial" w:hAnsi="Arial"/>
        </w:rPr>
        <w:t>Se reiteran las recomendaciones no cumplidas de ejercicios anteriores a las que se agregan las siguientes:</w:t>
      </w:r>
    </w:p>
    <w:p w:rsidR="000C5BCA" w:rsidRDefault="000C5BCA" w:rsidP="00A96C24">
      <w:pPr>
        <w:pStyle w:val="Textoindependiente"/>
        <w:ind w:left="720" w:hanging="720"/>
        <w:rPr>
          <w:rFonts w:ascii="Arial" w:hAnsi="Arial"/>
        </w:rPr>
      </w:pPr>
      <w:r>
        <w:rPr>
          <w:rFonts w:ascii="Arial" w:hAnsi="Arial"/>
          <w:b/>
        </w:rPr>
        <w:t>4.2.1</w:t>
      </w:r>
      <w:r>
        <w:rPr>
          <w:rFonts w:ascii="Arial" w:hAnsi="Arial"/>
        </w:rPr>
        <w:t xml:space="preserve"> Realizar las adecuaciones teniendo en cuenta las trasposiciones efectuadas durante el Ejercicio y remitirlas a la OPP para su aprobación en el plazo establecido en los Artículos 4 y 5 del Decreto Nº 349/13.</w:t>
      </w:r>
    </w:p>
    <w:p w:rsidR="000C5BCA" w:rsidRDefault="000C5BCA" w:rsidP="000C5BCA">
      <w:pPr>
        <w:pStyle w:val="Textoindependiente"/>
        <w:numPr>
          <w:ilvl w:val="2"/>
          <w:numId w:val="9"/>
        </w:numPr>
        <w:ind w:left="709" w:hanging="709"/>
        <w:rPr>
          <w:rFonts w:ascii="Arial" w:hAnsi="Arial"/>
        </w:rPr>
      </w:pPr>
      <w:r>
        <w:rPr>
          <w:rFonts w:ascii="Arial" w:hAnsi="Arial"/>
        </w:rPr>
        <w:t>Remitir las adecuaciones presupuestales al Tribunal de Cuentas una vez obtenido el informe favorable de OPP.</w:t>
      </w:r>
    </w:p>
    <w:p w:rsidR="000C5BCA" w:rsidRDefault="000C5BCA" w:rsidP="000C5BCA">
      <w:pPr>
        <w:pStyle w:val="Textoindependiente"/>
        <w:numPr>
          <w:ilvl w:val="2"/>
          <w:numId w:val="9"/>
        </w:numPr>
        <w:ind w:left="709" w:hanging="709"/>
        <w:rPr>
          <w:rFonts w:ascii="Arial" w:hAnsi="Arial"/>
        </w:rPr>
      </w:pPr>
      <w:r>
        <w:rPr>
          <w:rFonts w:ascii="Arial" w:hAnsi="Arial"/>
        </w:rPr>
        <w:t>Aplicar los procedimientos necesarios para que solo los funcionarios autorizados accedan a los archivos de pagos, programas y registros relacionados.</w:t>
      </w:r>
    </w:p>
    <w:p w:rsidR="000C5BCA" w:rsidRDefault="000C5BCA" w:rsidP="000C5BCA">
      <w:pPr>
        <w:pStyle w:val="Textoindependiente"/>
        <w:numPr>
          <w:ilvl w:val="2"/>
          <w:numId w:val="9"/>
        </w:numPr>
        <w:ind w:left="709" w:hanging="709"/>
        <w:rPr>
          <w:rFonts w:ascii="Arial" w:hAnsi="Arial"/>
        </w:rPr>
      </w:pPr>
      <w:r>
        <w:rPr>
          <w:rFonts w:ascii="Arial" w:hAnsi="Arial"/>
        </w:rPr>
        <w:t>Aprobar la nómina antes de la distribución de cheques o acreditación en cuentas de los funcionarios.</w:t>
      </w:r>
    </w:p>
    <w:p w:rsidR="000C5BCA" w:rsidRDefault="000C5BCA" w:rsidP="000C5BCA">
      <w:pPr>
        <w:pStyle w:val="Textoindependiente"/>
        <w:numPr>
          <w:ilvl w:val="2"/>
          <w:numId w:val="9"/>
        </w:numPr>
        <w:ind w:left="720"/>
        <w:rPr>
          <w:rFonts w:ascii="Arial" w:hAnsi="Arial" w:cs="Arial"/>
        </w:rPr>
      </w:pPr>
      <w:r>
        <w:rPr>
          <w:rFonts w:ascii="Arial" w:hAnsi="Arial"/>
        </w:rPr>
        <w:t>Imp</w:t>
      </w:r>
      <w:r>
        <w:rPr>
          <w:rFonts w:ascii="Arial" w:hAnsi="Arial" w:cs="Arial"/>
        </w:rPr>
        <w:t>lementar los mecanismos necesarios para corregir los incumplimientos señalados en el Dictamen.</w:t>
      </w:r>
    </w:p>
    <w:p w:rsidR="000C5BCA" w:rsidRDefault="000C5BCA" w:rsidP="00A96C24">
      <w:pPr>
        <w:pStyle w:val="Textoindependiente"/>
        <w:tabs>
          <w:tab w:val="left" w:pos="567"/>
        </w:tabs>
        <w:jc w:val="right"/>
        <w:rPr>
          <w:rFonts w:ascii="Arial" w:hAnsi="Arial"/>
        </w:rPr>
      </w:pPr>
      <w:r>
        <w:rPr>
          <w:rFonts w:ascii="Arial" w:hAnsi="Arial"/>
        </w:rPr>
        <w:t>Mo</w:t>
      </w:r>
      <w:r w:rsidR="0052352A">
        <w:rPr>
          <w:rFonts w:ascii="Arial" w:hAnsi="Arial"/>
        </w:rPr>
        <w:t>ntevideo, 15 de octubre de 2014</w:t>
      </w:r>
    </w:p>
    <w:p w:rsidR="00D31476" w:rsidRDefault="0052352A">
      <w:pPr>
        <w:tabs>
          <w:tab w:val="num" w:pos="720"/>
        </w:tabs>
        <w:spacing w:after="0" w:line="360" w:lineRule="auto"/>
      </w:pPr>
      <w:proofErr w:type="gramStart"/>
      <w:r>
        <w:t>dc</w:t>
      </w:r>
      <w:proofErr w:type="gramEnd"/>
    </w:p>
    <w:p w:rsidR="00A96C24" w:rsidRDefault="00A96C24">
      <w:pPr>
        <w:tabs>
          <w:tab w:val="num" w:pos="720"/>
        </w:tabs>
        <w:spacing w:after="0" w:line="360" w:lineRule="auto"/>
      </w:pPr>
    </w:p>
    <w:p w:rsidR="00A96C24" w:rsidRDefault="00A96C24">
      <w:pPr>
        <w:tabs>
          <w:tab w:val="num" w:pos="720"/>
        </w:tabs>
        <w:spacing w:after="0" w:line="360" w:lineRule="auto"/>
      </w:pPr>
    </w:p>
    <w:p w:rsidR="00A96C24" w:rsidRDefault="00A96C24">
      <w:pPr>
        <w:tabs>
          <w:tab w:val="num" w:pos="720"/>
        </w:tabs>
        <w:spacing w:after="0" w:line="360" w:lineRule="auto"/>
      </w:pPr>
    </w:p>
    <w:p w:rsidR="00A96C24" w:rsidRDefault="00A96C24">
      <w:pPr>
        <w:tabs>
          <w:tab w:val="num" w:pos="720"/>
        </w:tabs>
        <w:spacing w:after="0" w:line="360" w:lineRule="auto"/>
      </w:pPr>
    </w:p>
    <w:p w:rsidR="00A96C24" w:rsidRDefault="00A96C24">
      <w:pPr>
        <w:tabs>
          <w:tab w:val="num" w:pos="720"/>
        </w:tabs>
        <w:spacing w:after="0" w:line="360" w:lineRule="auto"/>
      </w:pPr>
    </w:p>
    <w:p w:rsidR="00A96C24" w:rsidRDefault="00A96C24">
      <w:pPr>
        <w:tabs>
          <w:tab w:val="num" w:pos="720"/>
        </w:tabs>
        <w:spacing w:after="0" w:line="360" w:lineRule="auto"/>
      </w:pPr>
    </w:p>
    <w:p w:rsidR="00D31476" w:rsidRDefault="00D31476" w:rsidP="00A96C24">
      <w:pPr>
        <w:suppressAutoHyphens/>
        <w:spacing w:after="0" w:line="360" w:lineRule="auto"/>
        <w:jc w:val="right"/>
        <w:rPr>
          <w:rFonts w:cs="Arial"/>
          <w:bCs/>
          <w:spacing w:val="-3"/>
          <w:szCs w:val="24"/>
          <w:lang w:val="es-ES_tradnl"/>
        </w:rPr>
      </w:pPr>
      <w:r>
        <w:rPr>
          <w:rFonts w:cs="Arial"/>
          <w:bCs/>
          <w:spacing w:val="-3"/>
          <w:szCs w:val="24"/>
          <w:lang w:val="es-ES_tradnl"/>
        </w:rPr>
        <w:t>Montevideo, 21 de noviembre de 2014.-</w:t>
      </w:r>
    </w:p>
    <w:p w:rsidR="00D31476" w:rsidRDefault="00D31476" w:rsidP="00A96C24">
      <w:pPr>
        <w:suppressAutoHyphens/>
        <w:spacing w:after="0" w:line="360" w:lineRule="auto"/>
        <w:jc w:val="right"/>
        <w:rPr>
          <w:rFonts w:cs="Arial"/>
          <w:bCs/>
          <w:spacing w:val="-3"/>
          <w:szCs w:val="24"/>
          <w:lang w:val="es-ES_tradnl"/>
        </w:rPr>
      </w:pPr>
    </w:p>
    <w:p w:rsidR="00D31476" w:rsidRPr="002E3D37" w:rsidRDefault="00D31476" w:rsidP="00A96C24">
      <w:pPr>
        <w:suppressAutoHyphens/>
        <w:spacing w:after="0" w:line="360" w:lineRule="auto"/>
        <w:rPr>
          <w:rFonts w:cs="Arial"/>
          <w:spacing w:val="-3"/>
          <w:szCs w:val="24"/>
          <w:lang w:val="es-ES_tradnl"/>
        </w:rPr>
      </w:pPr>
      <w:r w:rsidRPr="002E3D37">
        <w:rPr>
          <w:rFonts w:cs="Arial"/>
          <w:spacing w:val="-3"/>
          <w:szCs w:val="24"/>
          <w:lang w:val="es-ES_tradnl"/>
        </w:rPr>
        <w:t>Señora</w:t>
      </w:r>
    </w:p>
    <w:p w:rsidR="00D31476" w:rsidRPr="002E3D37" w:rsidRDefault="00D31476" w:rsidP="00A96C24">
      <w:pPr>
        <w:suppressAutoHyphens/>
        <w:spacing w:after="0" w:line="360" w:lineRule="auto"/>
        <w:rPr>
          <w:rFonts w:cs="Arial"/>
          <w:spacing w:val="-3"/>
          <w:szCs w:val="24"/>
          <w:lang w:val="es-ES_tradnl"/>
        </w:rPr>
      </w:pPr>
      <w:r>
        <w:rPr>
          <w:rFonts w:cs="Arial"/>
          <w:spacing w:val="-3"/>
          <w:szCs w:val="24"/>
          <w:lang w:val="es-ES_tradnl"/>
        </w:rPr>
        <w:t>Presidenta</w:t>
      </w:r>
      <w:r w:rsidRPr="002E3D37">
        <w:rPr>
          <w:rFonts w:cs="Arial"/>
          <w:spacing w:val="-3"/>
          <w:szCs w:val="24"/>
          <w:lang w:val="es-ES_tradnl"/>
        </w:rPr>
        <w:t xml:space="preserve"> del</w:t>
      </w:r>
    </w:p>
    <w:p w:rsidR="00D31476" w:rsidRPr="002E3D37" w:rsidRDefault="00D31476" w:rsidP="00A96C24">
      <w:pPr>
        <w:suppressAutoHyphens/>
        <w:spacing w:after="0" w:line="360" w:lineRule="auto"/>
        <w:rPr>
          <w:rFonts w:cs="Arial"/>
          <w:spacing w:val="-3"/>
          <w:szCs w:val="24"/>
          <w:lang w:val="es-ES_tradnl"/>
        </w:rPr>
      </w:pPr>
      <w:r w:rsidRPr="002E3D37">
        <w:rPr>
          <w:rFonts w:cs="Arial"/>
          <w:spacing w:val="-3"/>
          <w:szCs w:val="24"/>
          <w:lang w:val="es-ES_tradnl"/>
        </w:rPr>
        <w:t>Servicio Oficial de Difusión,</w:t>
      </w:r>
    </w:p>
    <w:p w:rsidR="00D31476" w:rsidRPr="002E3D37" w:rsidRDefault="00D31476" w:rsidP="00A96C24">
      <w:pPr>
        <w:suppressAutoHyphens/>
        <w:spacing w:after="0" w:line="360" w:lineRule="auto"/>
        <w:rPr>
          <w:rFonts w:cs="Arial"/>
          <w:spacing w:val="-3"/>
          <w:szCs w:val="24"/>
          <w:lang w:val="es-ES_tradnl"/>
        </w:rPr>
      </w:pPr>
      <w:r w:rsidRPr="002E3D37">
        <w:rPr>
          <w:rFonts w:cs="Arial"/>
          <w:spacing w:val="-3"/>
          <w:szCs w:val="24"/>
          <w:lang w:val="es-ES_tradnl"/>
        </w:rPr>
        <w:t>Radiotelevisión y Espectáculos</w:t>
      </w:r>
    </w:p>
    <w:p w:rsidR="00D31476" w:rsidRDefault="00D31476" w:rsidP="00A96C24">
      <w:pPr>
        <w:suppressAutoHyphens/>
        <w:spacing w:after="0" w:line="360" w:lineRule="auto"/>
        <w:rPr>
          <w:rFonts w:cs="Arial"/>
          <w:spacing w:val="-3"/>
          <w:szCs w:val="24"/>
          <w:lang w:val="es-ES_tradnl"/>
        </w:rPr>
      </w:pPr>
      <w:r>
        <w:rPr>
          <w:rFonts w:cs="Arial"/>
          <w:spacing w:val="-3"/>
          <w:szCs w:val="24"/>
          <w:lang w:val="es-ES_tradnl"/>
        </w:rPr>
        <w:t>Eneida de León</w:t>
      </w:r>
    </w:p>
    <w:p w:rsidR="00D31476" w:rsidRDefault="00D31476" w:rsidP="00A96C24">
      <w:pPr>
        <w:suppressAutoHyphens/>
        <w:spacing w:after="0" w:line="360" w:lineRule="auto"/>
        <w:jc w:val="right"/>
        <w:rPr>
          <w:rFonts w:cs="Arial"/>
          <w:spacing w:val="-3"/>
          <w:szCs w:val="24"/>
          <w:lang w:val="es-ES_tradnl"/>
        </w:rPr>
      </w:pPr>
      <w:r>
        <w:rPr>
          <w:rFonts w:cs="Arial"/>
          <w:spacing w:val="-3"/>
          <w:szCs w:val="24"/>
          <w:lang w:val="es-ES_tradnl"/>
        </w:rPr>
        <w:t>E.E. 2014-17-1-0004190</w:t>
      </w:r>
    </w:p>
    <w:p w:rsidR="00D31476" w:rsidRDefault="00D31476" w:rsidP="00A96C24">
      <w:pPr>
        <w:suppressAutoHyphens/>
        <w:spacing w:after="0" w:line="360" w:lineRule="auto"/>
        <w:jc w:val="right"/>
        <w:rPr>
          <w:rFonts w:cs="Arial"/>
          <w:spacing w:val="-3"/>
          <w:szCs w:val="24"/>
          <w:lang w:val="es-ES_tradnl"/>
        </w:rPr>
      </w:pPr>
      <w:r>
        <w:rPr>
          <w:rFonts w:cs="Arial"/>
          <w:spacing w:val="-3"/>
          <w:szCs w:val="24"/>
          <w:lang w:val="es-ES_tradnl"/>
        </w:rPr>
        <w:t>Entrada 3147/14</w:t>
      </w:r>
    </w:p>
    <w:p w:rsidR="00D31476" w:rsidRPr="002E3D37" w:rsidRDefault="00D31476" w:rsidP="00A96C24">
      <w:pPr>
        <w:suppressAutoHyphens/>
        <w:spacing w:after="0" w:line="360" w:lineRule="auto"/>
        <w:jc w:val="right"/>
        <w:rPr>
          <w:rFonts w:cs="Arial"/>
          <w:spacing w:val="-3"/>
          <w:szCs w:val="24"/>
          <w:lang w:val="es-ES_tradnl"/>
        </w:rPr>
      </w:pPr>
      <w:r>
        <w:rPr>
          <w:rFonts w:cs="Arial"/>
          <w:spacing w:val="-3"/>
          <w:szCs w:val="24"/>
          <w:lang w:val="es-ES_tradnl"/>
        </w:rPr>
        <w:t>Oficio 9575/14</w:t>
      </w:r>
    </w:p>
    <w:p w:rsidR="00D31476" w:rsidRPr="00C26688" w:rsidRDefault="00D31476">
      <w:pPr>
        <w:suppressAutoHyphens/>
        <w:spacing w:after="0" w:line="360" w:lineRule="auto"/>
        <w:rPr>
          <w:rFonts w:cs="Arial"/>
          <w:spacing w:val="-3"/>
          <w:szCs w:val="24"/>
          <w:lang w:val="es-ES_tradnl"/>
        </w:rPr>
      </w:pPr>
    </w:p>
    <w:p w:rsidR="00D31476" w:rsidRDefault="00D31476" w:rsidP="00A96C24">
      <w:pPr>
        <w:tabs>
          <w:tab w:val="num" w:pos="360"/>
        </w:tabs>
        <w:spacing w:after="0" w:line="360" w:lineRule="auto"/>
        <w:ind w:firstLine="851"/>
      </w:pPr>
      <w:r>
        <w:t>En oportunidad de efectuar el control del cumplimiento de lo dispuesto en el Artículo 17 de la Ley N° 17.904 de 07/10/05 y el Artículo 226 de la Ley N°18.172 de 31/08/07, al dictaminar sobre la Rendición de Cuentas y el Balance de Ejecución Presupuestal correspondiente al Ejercicio 2013 de la Administración Nacional de Correos (ANC), el Tribunal de Cuentas ha verificado que dicho Organismo contrató pautas publicitarias con operadores privados de radio y televisión por $ 1:118.606 y $ 3:043.298 respectivamente.</w:t>
      </w:r>
    </w:p>
    <w:p w:rsidR="00D31476" w:rsidRDefault="00D31476" w:rsidP="00A96C24">
      <w:pPr>
        <w:tabs>
          <w:tab w:val="num" w:pos="360"/>
        </w:tabs>
        <w:spacing w:after="0" w:line="360" w:lineRule="auto"/>
        <w:ind w:firstLine="851"/>
      </w:pPr>
      <w:r>
        <w:t xml:space="preserve">En el dicho Ejercicio, la ANC contrató publicidad con la radio y </w:t>
      </w:r>
      <w:proofErr w:type="gramStart"/>
      <w:r>
        <w:t>televisión difusoras</w:t>
      </w:r>
      <w:proofErr w:type="gramEnd"/>
      <w:r>
        <w:t xml:space="preserve"> del SODRE por $ 223.721 y $ 608.660 respectivamente, lo que representa el 20% de los importes contratados con radiodifusoras privadas.</w:t>
      </w:r>
    </w:p>
    <w:p w:rsidR="00D31476" w:rsidRDefault="00A96C24">
      <w:pPr>
        <w:tabs>
          <w:tab w:val="num" w:pos="360"/>
        </w:tabs>
        <w:spacing w:after="0" w:line="360" w:lineRule="auto"/>
        <w:jc w:val="right"/>
      </w:pPr>
      <w:r>
        <w:t>Saludo a usted atentamente</w:t>
      </w:r>
    </w:p>
    <w:p w:rsidR="00D31476" w:rsidRDefault="00D31476">
      <w:pPr>
        <w:tabs>
          <w:tab w:val="num" w:pos="360"/>
        </w:tabs>
        <w:spacing w:after="0" w:line="360" w:lineRule="auto"/>
        <w:jc w:val="right"/>
      </w:pPr>
    </w:p>
    <w:p w:rsidR="00D31476" w:rsidRDefault="00D31476">
      <w:pPr>
        <w:tabs>
          <w:tab w:val="num" w:pos="360"/>
        </w:tabs>
        <w:spacing w:after="0" w:line="360" w:lineRule="auto"/>
        <w:jc w:val="right"/>
      </w:pPr>
    </w:p>
    <w:p w:rsidR="000C5BCA" w:rsidRDefault="00D31476" w:rsidP="00A96C24">
      <w:pPr>
        <w:tabs>
          <w:tab w:val="num" w:pos="360"/>
        </w:tabs>
        <w:spacing w:after="0" w:line="360" w:lineRule="auto"/>
        <w:ind w:hanging="567"/>
        <w:jc w:val="left"/>
      </w:pPr>
      <w:proofErr w:type="gramStart"/>
      <w:r>
        <w:t>dc</w:t>
      </w:r>
      <w:proofErr w:type="gramEnd"/>
    </w:p>
    <w:sectPr w:rsidR="000C5BCA" w:rsidSect="00D2037B">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9FC"/>
    <w:multiLevelType w:val="hybridMultilevel"/>
    <w:tmpl w:val="07F80FC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nsid w:val="04F31A99"/>
    <w:multiLevelType w:val="multilevel"/>
    <w:tmpl w:val="447A6E2A"/>
    <w:lvl w:ilvl="0">
      <w:start w:val="4"/>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2">
    <w:nsid w:val="091E73F7"/>
    <w:multiLevelType w:val="hybridMultilevel"/>
    <w:tmpl w:val="837247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42B5976"/>
    <w:multiLevelType w:val="multilevel"/>
    <w:tmpl w:val="458699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3"/>
      <w:numFmt w:val="decimal"/>
      <w:lvlText w:val="%4."/>
      <w:lvlJc w:val="left"/>
      <w:pPr>
        <w:tabs>
          <w:tab w:val="num" w:pos="1800"/>
        </w:tabs>
        <w:ind w:left="1800" w:hanging="360"/>
      </w:pPr>
      <w:rPr>
        <w:rFonts w:ascii="Arial" w:hAnsi="Arial" w:hint="default"/>
        <w:b/>
        <w:i w:val="0"/>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nsid w:val="2D2648D2"/>
    <w:multiLevelType w:val="multilevel"/>
    <w:tmpl w:val="B91E5BDC"/>
    <w:lvl w:ilvl="0">
      <w:start w:val="4"/>
      <w:numFmt w:val="decimal"/>
      <w:lvlText w:val="%1"/>
      <w:lvlJc w:val="left"/>
      <w:pPr>
        <w:ind w:left="525" w:hanging="525"/>
      </w:pPr>
      <w:rPr>
        <w:rFonts w:hint="default"/>
      </w:rPr>
    </w:lvl>
    <w:lvl w:ilvl="1">
      <w:start w:val="1"/>
      <w:numFmt w:val="decimal"/>
      <w:lvlText w:val="%1.%2"/>
      <w:lvlJc w:val="left"/>
      <w:pPr>
        <w:ind w:left="1170" w:hanging="525"/>
      </w:pPr>
      <w:rPr>
        <w:rFonts w:hint="default"/>
      </w:rPr>
    </w:lvl>
    <w:lvl w:ilvl="2">
      <w:start w:val="2"/>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5">
    <w:nsid w:val="3C1B2949"/>
    <w:multiLevelType w:val="multilevel"/>
    <w:tmpl w:val="120CC3B0"/>
    <w:lvl w:ilvl="0">
      <w:start w:val="4"/>
      <w:numFmt w:val="decimal"/>
      <w:lvlText w:val="%1"/>
      <w:lvlJc w:val="left"/>
      <w:pPr>
        <w:ind w:left="525" w:hanging="525"/>
      </w:pPr>
      <w:rPr>
        <w:rFonts w:hint="default"/>
        <w:b/>
      </w:rPr>
    </w:lvl>
    <w:lvl w:ilvl="1">
      <w:start w:val="2"/>
      <w:numFmt w:val="decimal"/>
      <w:lvlText w:val="%1.%2"/>
      <w:lvlJc w:val="left"/>
      <w:pPr>
        <w:ind w:left="1169" w:hanging="525"/>
      </w:pPr>
      <w:rPr>
        <w:rFonts w:hint="default"/>
        <w:b/>
      </w:rPr>
    </w:lvl>
    <w:lvl w:ilvl="2">
      <w:start w:val="2"/>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6308" w:hanging="1800"/>
      </w:pPr>
      <w:rPr>
        <w:rFonts w:hint="default"/>
        <w:b/>
      </w:rPr>
    </w:lvl>
    <w:lvl w:ilvl="8">
      <w:start w:val="1"/>
      <w:numFmt w:val="decimal"/>
      <w:lvlText w:val="%1.%2.%3.%4.%5.%6.%7.%8.%9"/>
      <w:lvlJc w:val="left"/>
      <w:pPr>
        <w:ind w:left="6952" w:hanging="1800"/>
      </w:pPr>
      <w:rPr>
        <w:rFonts w:hint="default"/>
        <w:b/>
      </w:rPr>
    </w:lvl>
  </w:abstractNum>
  <w:abstractNum w:abstractNumId="6">
    <w:nsid w:val="54161E08"/>
    <w:multiLevelType w:val="hybridMultilevel"/>
    <w:tmpl w:val="796A4DD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CB130E3"/>
    <w:multiLevelType w:val="hybridMultilevel"/>
    <w:tmpl w:val="CE006B0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76810A50"/>
    <w:multiLevelType w:val="hybridMultilevel"/>
    <w:tmpl w:val="8CA29A2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3"/>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7B"/>
    <w:rsid w:val="000C5BCA"/>
    <w:rsid w:val="0052352A"/>
    <w:rsid w:val="00635A63"/>
    <w:rsid w:val="008C7B15"/>
    <w:rsid w:val="00A51AAC"/>
    <w:rsid w:val="00A96C24"/>
    <w:rsid w:val="00D2037B"/>
    <w:rsid w:val="00D31476"/>
    <w:rsid w:val="00EC6B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7B"/>
    <w:pPr>
      <w:jc w:val="both"/>
    </w:pPr>
    <w:rPr>
      <w:rFonts w:ascii="Arial" w:eastAsia="Calibri" w:hAnsi="Arial" w:cs="Times New Roman"/>
      <w:sz w:val="24"/>
    </w:rPr>
  </w:style>
  <w:style w:type="paragraph" w:styleId="Ttulo2">
    <w:name w:val="heading 2"/>
    <w:basedOn w:val="Normal"/>
    <w:next w:val="Normal"/>
    <w:link w:val="Ttulo2Car"/>
    <w:qFormat/>
    <w:rsid w:val="00D2037B"/>
    <w:pPr>
      <w:keepNext/>
      <w:spacing w:after="0" w:line="360" w:lineRule="auto"/>
      <w:jc w:val="center"/>
      <w:outlineLvl w:val="1"/>
    </w:pPr>
    <w:rPr>
      <w:rFonts w:ascii="Bookman Old Style" w:eastAsia="Times New Roman" w:hAnsi="Bookman Old Style"/>
      <w:b/>
      <w:szCs w:val="20"/>
      <w:lang w:val="es-ES" w:eastAsia="es-ES"/>
    </w:rPr>
  </w:style>
  <w:style w:type="paragraph" w:styleId="Ttulo5">
    <w:name w:val="heading 5"/>
    <w:basedOn w:val="Normal"/>
    <w:next w:val="Normal"/>
    <w:link w:val="Ttulo5Car"/>
    <w:qFormat/>
    <w:rsid w:val="000C5BCA"/>
    <w:pPr>
      <w:keepNext/>
      <w:spacing w:after="0" w:line="360" w:lineRule="auto"/>
      <w:ind w:left="360"/>
      <w:outlineLvl w:val="4"/>
    </w:pPr>
    <w:rPr>
      <w:rFonts w:eastAsia="Times New Roman"/>
      <w:b/>
      <w:snapToGrid w:val="0"/>
      <w:szCs w:val="20"/>
      <w:lang w:val="es-ES" w:eastAsia="es-ES"/>
    </w:rPr>
  </w:style>
  <w:style w:type="paragraph" w:styleId="Ttulo6">
    <w:name w:val="heading 6"/>
    <w:basedOn w:val="Normal"/>
    <w:next w:val="Normal"/>
    <w:link w:val="Ttulo6Car"/>
    <w:qFormat/>
    <w:rsid w:val="000C5BCA"/>
    <w:pPr>
      <w:keepNext/>
      <w:spacing w:after="0" w:line="360" w:lineRule="auto"/>
      <w:outlineLvl w:val="5"/>
    </w:pPr>
    <w:rPr>
      <w:rFonts w:eastAsia="Times New Roman"/>
      <w:b/>
      <w:snapToGrid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37B"/>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D2037B"/>
    <w:pPr>
      <w:tabs>
        <w:tab w:val="center" w:pos="4419"/>
        <w:tab w:val="right" w:pos="8838"/>
      </w:tabs>
      <w:spacing w:after="0" w:line="240" w:lineRule="auto"/>
      <w:jc w:val="left"/>
    </w:pPr>
    <w:rPr>
      <w:rFonts w:ascii="Bookman Old Style" w:eastAsia="Times New Roman" w:hAnsi="Bookman Old Style"/>
      <w:szCs w:val="20"/>
      <w:lang w:val="es-ES" w:eastAsia="es-ES"/>
    </w:rPr>
  </w:style>
  <w:style w:type="character" w:customStyle="1" w:styleId="EncabezadoCar">
    <w:name w:val="Encabezado Car"/>
    <w:basedOn w:val="Fuentedeprrafopredeter"/>
    <w:link w:val="Encabezado"/>
    <w:semiHidden/>
    <w:rsid w:val="00D2037B"/>
    <w:rPr>
      <w:rFonts w:ascii="Bookman Old Style" w:eastAsia="Times New Roman" w:hAnsi="Bookman Old Style" w:cs="Times New Roman"/>
      <w:sz w:val="24"/>
      <w:szCs w:val="20"/>
      <w:lang w:val="es-ES" w:eastAsia="es-ES"/>
    </w:rPr>
  </w:style>
  <w:style w:type="character" w:customStyle="1" w:styleId="Ttulo6Car">
    <w:name w:val="Título 6 Car"/>
    <w:basedOn w:val="Fuentedeprrafopredeter"/>
    <w:link w:val="Ttulo6"/>
    <w:rsid w:val="000C5BCA"/>
    <w:rPr>
      <w:rFonts w:ascii="Arial" w:eastAsia="Times New Roman" w:hAnsi="Arial" w:cs="Times New Roman"/>
      <w:b/>
      <w:snapToGrid w:val="0"/>
      <w:sz w:val="24"/>
      <w:szCs w:val="20"/>
      <w:lang w:val="es-ES" w:eastAsia="es-ES"/>
    </w:rPr>
  </w:style>
  <w:style w:type="paragraph" w:styleId="Textoindependiente">
    <w:name w:val="Body Text"/>
    <w:basedOn w:val="Normal"/>
    <w:link w:val="TextoindependienteCar"/>
    <w:semiHidden/>
    <w:rsid w:val="000C5BCA"/>
    <w:pPr>
      <w:spacing w:after="0" w:line="360" w:lineRule="auto"/>
    </w:pPr>
    <w:rPr>
      <w:rFonts w:ascii="Bookman Old Style" w:eastAsia="Times New Roman" w:hAnsi="Bookman Old Style"/>
      <w:szCs w:val="20"/>
      <w:lang w:val="es-ES" w:eastAsia="es-ES"/>
    </w:rPr>
  </w:style>
  <w:style w:type="character" w:customStyle="1" w:styleId="TextoindependienteCar">
    <w:name w:val="Texto independiente Car"/>
    <w:basedOn w:val="Fuentedeprrafopredeter"/>
    <w:link w:val="Textoindependiente"/>
    <w:semiHidden/>
    <w:rsid w:val="000C5BCA"/>
    <w:rPr>
      <w:rFonts w:ascii="Bookman Old Style" w:eastAsia="Times New Roman" w:hAnsi="Bookman Old Style" w:cs="Times New Roman"/>
      <w:sz w:val="24"/>
      <w:szCs w:val="20"/>
      <w:lang w:val="es-ES" w:eastAsia="es-ES"/>
    </w:rPr>
  </w:style>
  <w:style w:type="paragraph" w:styleId="Textoindependiente2">
    <w:name w:val="Body Text 2"/>
    <w:basedOn w:val="Normal"/>
    <w:link w:val="Textoindependiente2Car"/>
    <w:semiHidden/>
    <w:rsid w:val="000C5BCA"/>
    <w:pPr>
      <w:spacing w:after="0" w:line="360" w:lineRule="auto"/>
    </w:pPr>
    <w:rPr>
      <w:rFonts w:eastAsia="Times New Roman"/>
      <w:szCs w:val="20"/>
      <w:lang w:val="es-ES_tradnl" w:eastAsia="es-ES"/>
    </w:rPr>
  </w:style>
  <w:style w:type="character" w:customStyle="1" w:styleId="Textoindependiente2Car">
    <w:name w:val="Texto independiente 2 Car"/>
    <w:basedOn w:val="Fuentedeprrafopredeter"/>
    <w:link w:val="Textoindependiente2"/>
    <w:semiHidden/>
    <w:rsid w:val="000C5BCA"/>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semiHidden/>
    <w:rsid w:val="000C5BCA"/>
    <w:pPr>
      <w:widowControl w:val="0"/>
      <w:spacing w:after="0" w:line="240" w:lineRule="auto"/>
    </w:pPr>
    <w:rPr>
      <w:rFonts w:ascii="Bookman Old Style" w:eastAsia="Times New Roman" w:hAnsi="Bookman Old Style"/>
      <w:b/>
      <w:snapToGrid w:val="0"/>
      <w:szCs w:val="20"/>
      <w:lang w:val="es-ES" w:eastAsia="es-ES"/>
    </w:rPr>
  </w:style>
  <w:style w:type="character" w:customStyle="1" w:styleId="Textoindependiente3Car">
    <w:name w:val="Texto independiente 3 Car"/>
    <w:basedOn w:val="Fuentedeprrafopredeter"/>
    <w:link w:val="Textoindependiente3"/>
    <w:semiHidden/>
    <w:rsid w:val="000C5BCA"/>
    <w:rPr>
      <w:rFonts w:ascii="Bookman Old Style" w:eastAsia="Times New Roman" w:hAnsi="Bookman Old Style" w:cs="Times New Roman"/>
      <w:b/>
      <w:snapToGrid w:val="0"/>
      <w:sz w:val="24"/>
      <w:szCs w:val="20"/>
      <w:lang w:val="es-ES" w:eastAsia="es-ES"/>
    </w:rPr>
  </w:style>
  <w:style w:type="paragraph" w:customStyle="1" w:styleId="Textoindependiente21">
    <w:name w:val="Texto independiente 21"/>
    <w:basedOn w:val="Normal"/>
    <w:rsid w:val="000C5BCA"/>
    <w:pPr>
      <w:suppressAutoHyphens/>
      <w:spacing w:after="0" w:line="360" w:lineRule="auto"/>
    </w:pPr>
    <w:rPr>
      <w:rFonts w:ascii="Times New Roman" w:eastAsia="Times New Roman" w:hAnsi="Times New Roman"/>
      <w:b/>
      <w:szCs w:val="20"/>
      <w:lang w:val="es-ES" w:eastAsia="es-ES"/>
    </w:rPr>
  </w:style>
  <w:style w:type="paragraph" w:customStyle="1" w:styleId="BodyText21">
    <w:name w:val="Body Text 21"/>
    <w:basedOn w:val="Normal"/>
    <w:rsid w:val="000C5BCA"/>
    <w:pPr>
      <w:widowControl w:val="0"/>
      <w:tabs>
        <w:tab w:val="left" w:pos="-720"/>
      </w:tabs>
      <w:suppressAutoHyphens/>
      <w:spacing w:after="0" w:line="240" w:lineRule="auto"/>
    </w:pPr>
    <w:rPr>
      <w:rFonts w:ascii="Bookman Old Style" w:eastAsia="Times New Roman" w:hAnsi="Bookman Old Style"/>
      <w:spacing w:val="-3"/>
      <w:szCs w:val="20"/>
      <w:lang w:eastAsia="es-ES"/>
    </w:rPr>
  </w:style>
  <w:style w:type="character" w:customStyle="1" w:styleId="Ttulo5Car">
    <w:name w:val="Título 5 Car"/>
    <w:basedOn w:val="Fuentedeprrafopredeter"/>
    <w:link w:val="Ttulo5"/>
    <w:rsid w:val="000C5BCA"/>
    <w:rPr>
      <w:rFonts w:ascii="Arial" w:eastAsia="Times New Roman" w:hAnsi="Arial" w:cs="Times New Roman"/>
      <w:b/>
      <w:snapToGrid w:val="0"/>
      <w:sz w:val="24"/>
      <w:szCs w:val="20"/>
      <w:lang w:val="es-ES" w:eastAsia="es-ES"/>
    </w:rPr>
  </w:style>
  <w:style w:type="paragraph" w:styleId="Sangradetextonormal">
    <w:name w:val="Body Text Indent"/>
    <w:basedOn w:val="Normal"/>
    <w:link w:val="SangradetextonormalCar"/>
    <w:semiHidden/>
    <w:rsid w:val="000C5BCA"/>
    <w:pPr>
      <w:widowControl w:val="0"/>
      <w:tabs>
        <w:tab w:val="left" w:pos="-720"/>
      </w:tabs>
      <w:suppressAutoHyphens/>
      <w:spacing w:after="0" w:line="240" w:lineRule="auto"/>
    </w:pPr>
    <w:rPr>
      <w:rFonts w:ascii="Bookman Old Style" w:eastAsia="Times New Roman" w:hAnsi="Bookman Old Style"/>
      <w:spacing w:val="-3"/>
      <w:szCs w:val="20"/>
      <w:lang w:eastAsia="es-ES"/>
    </w:rPr>
  </w:style>
  <w:style w:type="character" w:customStyle="1" w:styleId="SangradetextonormalCar">
    <w:name w:val="Sangría de texto normal Car"/>
    <w:basedOn w:val="Fuentedeprrafopredeter"/>
    <w:link w:val="Sangradetextonormal"/>
    <w:semiHidden/>
    <w:rsid w:val="000C5BCA"/>
    <w:rPr>
      <w:rFonts w:ascii="Bookman Old Style" w:eastAsia="Times New Roman" w:hAnsi="Bookman Old Style" w:cs="Times New Roman"/>
      <w:spacing w:val="-3"/>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7B"/>
    <w:pPr>
      <w:jc w:val="both"/>
    </w:pPr>
    <w:rPr>
      <w:rFonts w:ascii="Arial" w:eastAsia="Calibri" w:hAnsi="Arial" w:cs="Times New Roman"/>
      <w:sz w:val="24"/>
    </w:rPr>
  </w:style>
  <w:style w:type="paragraph" w:styleId="Ttulo2">
    <w:name w:val="heading 2"/>
    <w:basedOn w:val="Normal"/>
    <w:next w:val="Normal"/>
    <w:link w:val="Ttulo2Car"/>
    <w:qFormat/>
    <w:rsid w:val="00D2037B"/>
    <w:pPr>
      <w:keepNext/>
      <w:spacing w:after="0" w:line="360" w:lineRule="auto"/>
      <w:jc w:val="center"/>
      <w:outlineLvl w:val="1"/>
    </w:pPr>
    <w:rPr>
      <w:rFonts w:ascii="Bookman Old Style" w:eastAsia="Times New Roman" w:hAnsi="Bookman Old Style"/>
      <w:b/>
      <w:szCs w:val="20"/>
      <w:lang w:val="es-ES" w:eastAsia="es-ES"/>
    </w:rPr>
  </w:style>
  <w:style w:type="paragraph" w:styleId="Ttulo5">
    <w:name w:val="heading 5"/>
    <w:basedOn w:val="Normal"/>
    <w:next w:val="Normal"/>
    <w:link w:val="Ttulo5Car"/>
    <w:qFormat/>
    <w:rsid w:val="000C5BCA"/>
    <w:pPr>
      <w:keepNext/>
      <w:spacing w:after="0" w:line="360" w:lineRule="auto"/>
      <w:ind w:left="360"/>
      <w:outlineLvl w:val="4"/>
    </w:pPr>
    <w:rPr>
      <w:rFonts w:eastAsia="Times New Roman"/>
      <w:b/>
      <w:snapToGrid w:val="0"/>
      <w:szCs w:val="20"/>
      <w:lang w:val="es-ES" w:eastAsia="es-ES"/>
    </w:rPr>
  </w:style>
  <w:style w:type="paragraph" w:styleId="Ttulo6">
    <w:name w:val="heading 6"/>
    <w:basedOn w:val="Normal"/>
    <w:next w:val="Normal"/>
    <w:link w:val="Ttulo6Car"/>
    <w:qFormat/>
    <w:rsid w:val="000C5BCA"/>
    <w:pPr>
      <w:keepNext/>
      <w:spacing w:after="0" w:line="360" w:lineRule="auto"/>
      <w:outlineLvl w:val="5"/>
    </w:pPr>
    <w:rPr>
      <w:rFonts w:eastAsia="Times New Roman"/>
      <w:b/>
      <w:snapToGrid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37B"/>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D2037B"/>
    <w:pPr>
      <w:tabs>
        <w:tab w:val="center" w:pos="4419"/>
        <w:tab w:val="right" w:pos="8838"/>
      </w:tabs>
      <w:spacing w:after="0" w:line="240" w:lineRule="auto"/>
      <w:jc w:val="left"/>
    </w:pPr>
    <w:rPr>
      <w:rFonts w:ascii="Bookman Old Style" w:eastAsia="Times New Roman" w:hAnsi="Bookman Old Style"/>
      <w:szCs w:val="20"/>
      <w:lang w:val="es-ES" w:eastAsia="es-ES"/>
    </w:rPr>
  </w:style>
  <w:style w:type="character" w:customStyle="1" w:styleId="EncabezadoCar">
    <w:name w:val="Encabezado Car"/>
    <w:basedOn w:val="Fuentedeprrafopredeter"/>
    <w:link w:val="Encabezado"/>
    <w:semiHidden/>
    <w:rsid w:val="00D2037B"/>
    <w:rPr>
      <w:rFonts w:ascii="Bookman Old Style" w:eastAsia="Times New Roman" w:hAnsi="Bookman Old Style" w:cs="Times New Roman"/>
      <w:sz w:val="24"/>
      <w:szCs w:val="20"/>
      <w:lang w:val="es-ES" w:eastAsia="es-ES"/>
    </w:rPr>
  </w:style>
  <w:style w:type="character" w:customStyle="1" w:styleId="Ttulo6Car">
    <w:name w:val="Título 6 Car"/>
    <w:basedOn w:val="Fuentedeprrafopredeter"/>
    <w:link w:val="Ttulo6"/>
    <w:rsid w:val="000C5BCA"/>
    <w:rPr>
      <w:rFonts w:ascii="Arial" w:eastAsia="Times New Roman" w:hAnsi="Arial" w:cs="Times New Roman"/>
      <w:b/>
      <w:snapToGrid w:val="0"/>
      <w:sz w:val="24"/>
      <w:szCs w:val="20"/>
      <w:lang w:val="es-ES" w:eastAsia="es-ES"/>
    </w:rPr>
  </w:style>
  <w:style w:type="paragraph" w:styleId="Textoindependiente">
    <w:name w:val="Body Text"/>
    <w:basedOn w:val="Normal"/>
    <w:link w:val="TextoindependienteCar"/>
    <w:semiHidden/>
    <w:rsid w:val="000C5BCA"/>
    <w:pPr>
      <w:spacing w:after="0" w:line="360" w:lineRule="auto"/>
    </w:pPr>
    <w:rPr>
      <w:rFonts w:ascii="Bookman Old Style" w:eastAsia="Times New Roman" w:hAnsi="Bookman Old Style"/>
      <w:szCs w:val="20"/>
      <w:lang w:val="es-ES" w:eastAsia="es-ES"/>
    </w:rPr>
  </w:style>
  <w:style w:type="character" w:customStyle="1" w:styleId="TextoindependienteCar">
    <w:name w:val="Texto independiente Car"/>
    <w:basedOn w:val="Fuentedeprrafopredeter"/>
    <w:link w:val="Textoindependiente"/>
    <w:semiHidden/>
    <w:rsid w:val="000C5BCA"/>
    <w:rPr>
      <w:rFonts w:ascii="Bookman Old Style" w:eastAsia="Times New Roman" w:hAnsi="Bookman Old Style" w:cs="Times New Roman"/>
      <w:sz w:val="24"/>
      <w:szCs w:val="20"/>
      <w:lang w:val="es-ES" w:eastAsia="es-ES"/>
    </w:rPr>
  </w:style>
  <w:style w:type="paragraph" w:styleId="Textoindependiente2">
    <w:name w:val="Body Text 2"/>
    <w:basedOn w:val="Normal"/>
    <w:link w:val="Textoindependiente2Car"/>
    <w:semiHidden/>
    <w:rsid w:val="000C5BCA"/>
    <w:pPr>
      <w:spacing w:after="0" w:line="360" w:lineRule="auto"/>
    </w:pPr>
    <w:rPr>
      <w:rFonts w:eastAsia="Times New Roman"/>
      <w:szCs w:val="20"/>
      <w:lang w:val="es-ES_tradnl" w:eastAsia="es-ES"/>
    </w:rPr>
  </w:style>
  <w:style w:type="character" w:customStyle="1" w:styleId="Textoindependiente2Car">
    <w:name w:val="Texto independiente 2 Car"/>
    <w:basedOn w:val="Fuentedeprrafopredeter"/>
    <w:link w:val="Textoindependiente2"/>
    <w:semiHidden/>
    <w:rsid w:val="000C5BCA"/>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semiHidden/>
    <w:rsid w:val="000C5BCA"/>
    <w:pPr>
      <w:widowControl w:val="0"/>
      <w:spacing w:after="0" w:line="240" w:lineRule="auto"/>
    </w:pPr>
    <w:rPr>
      <w:rFonts w:ascii="Bookman Old Style" w:eastAsia="Times New Roman" w:hAnsi="Bookman Old Style"/>
      <w:b/>
      <w:snapToGrid w:val="0"/>
      <w:szCs w:val="20"/>
      <w:lang w:val="es-ES" w:eastAsia="es-ES"/>
    </w:rPr>
  </w:style>
  <w:style w:type="character" w:customStyle="1" w:styleId="Textoindependiente3Car">
    <w:name w:val="Texto independiente 3 Car"/>
    <w:basedOn w:val="Fuentedeprrafopredeter"/>
    <w:link w:val="Textoindependiente3"/>
    <w:semiHidden/>
    <w:rsid w:val="000C5BCA"/>
    <w:rPr>
      <w:rFonts w:ascii="Bookman Old Style" w:eastAsia="Times New Roman" w:hAnsi="Bookman Old Style" w:cs="Times New Roman"/>
      <w:b/>
      <w:snapToGrid w:val="0"/>
      <w:sz w:val="24"/>
      <w:szCs w:val="20"/>
      <w:lang w:val="es-ES" w:eastAsia="es-ES"/>
    </w:rPr>
  </w:style>
  <w:style w:type="paragraph" w:customStyle="1" w:styleId="Textoindependiente21">
    <w:name w:val="Texto independiente 21"/>
    <w:basedOn w:val="Normal"/>
    <w:rsid w:val="000C5BCA"/>
    <w:pPr>
      <w:suppressAutoHyphens/>
      <w:spacing w:after="0" w:line="360" w:lineRule="auto"/>
    </w:pPr>
    <w:rPr>
      <w:rFonts w:ascii="Times New Roman" w:eastAsia="Times New Roman" w:hAnsi="Times New Roman"/>
      <w:b/>
      <w:szCs w:val="20"/>
      <w:lang w:val="es-ES" w:eastAsia="es-ES"/>
    </w:rPr>
  </w:style>
  <w:style w:type="paragraph" w:customStyle="1" w:styleId="BodyText21">
    <w:name w:val="Body Text 21"/>
    <w:basedOn w:val="Normal"/>
    <w:rsid w:val="000C5BCA"/>
    <w:pPr>
      <w:widowControl w:val="0"/>
      <w:tabs>
        <w:tab w:val="left" w:pos="-720"/>
      </w:tabs>
      <w:suppressAutoHyphens/>
      <w:spacing w:after="0" w:line="240" w:lineRule="auto"/>
    </w:pPr>
    <w:rPr>
      <w:rFonts w:ascii="Bookman Old Style" w:eastAsia="Times New Roman" w:hAnsi="Bookman Old Style"/>
      <w:spacing w:val="-3"/>
      <w:szCs w:val="20"/>
      <w:lang w:eastAsia="es-ES"/>
    </w:rPr>
  </w:style>
  <w:style w:type="character" w:customStyle="1" w:styleId="Ttulo5Car">
    <w:name w:val="Título 5 Car"/>
    <w:basedOn w:val="Fuentedeprrafopredeter"/>
    <w:link w:val="Ttulo5"/>
    <w:rsid w:val="000C5BCA"/>
    <w:rPr>
      <w:rFonts w:ascii="Arial" w:eastAsia="Times New Roman" w:hAnsi="Arial" w:cs="Times New Roman"/>
      <w:b/>
      <w:snapToGrid w:val="0"/>
      <w:sz w:val="24"/>
      <w:szCs w:val="20"/>
      <w:lang w:val="es-ES" w:eastAsia="es-ES"/>
    </w:rPr>
  </w:style>
  <w:style w:type="paragraph" w:styleId="Sangradetextonormal">
    <w:name w:val="Body Text Indent"/>
    <w:basedOn w:val="Normal"/>
    <w:link w:val="SangradetextonormalCar"/>
    <w:semiHidden/>
    <w:rsid w:val="000C5BCA"/>
    <w:pPr>
      <w:widowControl w:val="0"/>
      <w:tabs>
        <w:tab w:val="left" w:pos="-720"/>
      </w:tabs>
      <w:suppressAutoHyphens/>
      <w:spacing w:after="0" w:line="240" w:lineRule="auto"/>
    </w:pPr>
    <w:rPr>
      <w:rFonts w:ascii="Bookman Old Style" w:eastAsia="Times New Roman" w:hAnsi="Bookman Old Style"/>
      <w:spacing w:val="-3"/>
      <w:szCs w:val="20"/>
      <w:lang w:eastAsia="es-ES"/>
    </w:rPr>
  </w:style>
  <w:style w:type="character" w:customStyle="1" w:styleId="SangradetextonormalCar">
    <w:name w:val="Sangría de texto normal Car"/>
    <w:basedOn w:val="Fuentedeprrafopredeter"/>
    <w:link w:val="Sangradetextonormal"/>
    <w:semiHidden/>
    <w:rsid w:val="000C5BCA"/>
    <w:rPr>
      <w:rFonts w:ascii="Bookman Old Style" w:eastAsia="Times New Roman" w:hAnsi="Bookman Old Style" w:cs="Times New Roman"/>
      <w:spacing w:val="-3"/>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1626</Words>
  <Characters>8945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5</cp:revision>
  <cp:lastPrinted>2014-11-21T18:50:00Z</cp:lastPrinted>
  <dcterms:created xsi:type="dcterms:W3CDTF">2014-11-21T18:48:00Z</dcterms:created>
  <dcterms:modified xsi:type="dcterms:W3CDTF">2015-01-27T17:14:00Z</dcterms:modified>
</cp:coreProperties>
</file>