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E8" w:rsidRDefault="00EE17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E17E8" w:rsidRDefault="00EE17E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17E8" w:rsidRDefault="00EE17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E17E8" w:rsidRDefault="00EE17E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17E8" w:rsidRDefault="00EE17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  DE DICIEM</w:t>
      </w:r>
      <w:r w:rsidR="00E0486C">
        <w:rPr>
          <w:rFonts w:ascii="Helvetica" w:hAnsi="Helvetica"/>
          <w:b/>
          <w:lang w:val="es-ES_tradnl"/>
        </w:rPr>
        <w:t>B</w:t>
      </w:r>
      <w:r>
        <w:rPr>
          <w:rFonts w:ascii="Helvetica" w:hAnsi="Helvetica"/>
          <w:b/>
          <w:lang w:val="es-ES_tradnl"/>
        </w:rPr>
        <w:t>RE DE 2014</w:t>
      </w:r>
    </w:p>
    <w:p w:rsidR="00EE17E8" w:rsidRDefault="00EE17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17E8" w:rsidRPr="00A675E5" w:rsidRDefault="005359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>
        <w:rPr>
          <w:rFonts w:ascii="Helvetica" w:hAnsi="Helvetica"/>
          <w:b/>
          <w:lang w:val="es-UY"/>
        </w:rPr>
        <w:t>(E. E. Nº2012-17-1-0002671</w:t>
      </w:r>
      <w:r w:rsidR="00EE17E8" w:rsidRPr="00A675E5">
        <w:rPr>
          <w:rFonts w:ascii="Helvetica" w:hAnsi="Helvetica"/>
          <w:b/>
          <w:lang w:val="es-UY"/>
        </w:rPr>
        <w:t xml:space="preserve">, </w:t>
      </w:r>
      <w:proofErr w:type="spellStart"/>
      <w:r w:rsidR="00EE17E8" w:rsidRPr="00A675E5">
        <w:rPr>
          <w:rFonts w:ascii="Helvetica" w:hAnsi="Helvetica"/>
          <w:b/>
          <w:lang w:val="es-UY"/>
        </w:rPr>
        <w:t>Ent</w:t>
      </w:r>
      <w:proofErr w:type="spellEnd"/>
      <w:r w:rsidR="00EE17E8" w:rsidRPr="00A675E5">
        <w:rPr>
          <w:rFonts w:ascii="Helvetica" w:hAnsi="Helvetica"/>
          <w:b/>
          <w:lang w:val="es-UY"/>
        </w:rPr>
        <w:t>. N°6986/14)</w:t>
      </w:r>
    </w:p>
    <w:p w:rsidR="00EE17E8" w:rsidRPr="00A675E5" w:rsidRDefault="00EE17E8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EE17E8" w:rsidRPr="00A675E5" w:rsidRDefault="00EE17E8">
      <w:pPr>
        <w:rPr>
          <w:lang w:val="es-UY"/>
        </w:rPr>
      </w:pPr>
    </w:p>
    <w:p w:rsidR="0059026D" w:rsidRDefault="0059026D" w:rsidP="0059026D">
      <w:pPr>
        <w:jc w:val="center"/>
        <w:rPr>
          <w:b/>
        </w:rPr>
      </w:pPr>
    </w:p>
    <w:p w:rsidR="0059026D" w:rsidRDefault="00E6740F" w:rsidP="00EE17E8">
      <w:pPr>
        <w:spacing w:line="360" w:lineRule="auto"/>
        <w:ind w:firstLine="851"/>
        <w:jc w:val="both"/>
        <w:rPr>
          <w:rFonts w:cs="Arial"/>
        </w:rPr>
      </w:pPr>
      <w:r w:rsidRPr="00E6740F">
        <w:rPr>
          <w:b/>
        </w:rPr>
        <w:t>VISTO:</w:t>
      </w:r>
      <w:r>
        <w:t xml:space="preserve"> las </w:t>
      </w:r>
      <w:r w:rsidR="0059026D">
        <w:rPr>
          <w:rFonts w:cs="Arial"/>
        </w:rPr>
        <w:t xml:space="preserve">nuevas actuaciones remitidas por el Ministerio de Economía y Finanzas  -Contaduría General de la Nación-  relacionadas con la renovación de </w:t>
      </w:r>
      <w:r w:rsidR="00A675E5">
        <w:rPr>
          <w:rFonts w:cs="Arial"/>
        </w:rPr>
        <w:t>L</w:t>
      </w:r>
      <w:r w:rsidR="0059026D">
        <w:rPr>
          <w:rFonts w:cs="Arial"/>
        </w:rPr>
        <w:t xml:space="preserve">icencias de Soporte </w:t>
      </w:r>
      <w:r w:rsidR="00A675E5">
        <w:rPr>
          <w:rFonts w:cs="Arial"/>
        </w:rPr>
        <w:t>T</w:t>
      </w:r>
      <w:r w:rsidR="0059026D">
        <w:rPr>
          <w:rFonts w:cs="Arial"/>
        </w:rPr>
        <w:t xml:space="preserve">écnico y actualización </w:t>
      </w:r>
      <w:bookmarkStart w:id="0" w:name="_GoBack"/>
      <w:bookmarkEnd w:id="0"/>
      <w:r w:rsidR="0059026D">
        <w:rPr>
          <w:rFonts w:cs="Arial"/>
        </w:rPr>
        <w:t xml:space="preserve">Oracle, con la </w:t>
      </w:r>
      <w:r w:rsidR="00A675E5">
        <w:rPr>
          <w:rFonts w:cs="Arial"/>
        </w:rPr>
        <w:t>F</w:t>
      </w:r>
      <w:r w:rsidR="0059026D">
        <w:rPr>
          <w:rFonts w:cs="Arial"/>
        </w:rPr>
        <w:t xml:space="preserve">irma </w:t>
      </w:r>
      <w:proofErr w:type="spellStart"/>
      <w:r w:rsidR="00EE17E8">
        <w:rPr>
          <w:rFonts w:cs="Arial"/>
        </w:rPr>
        <w:t>Tilsor</w:t>
      </w:r>
      <w:proofErr w:type="spellEnd"/>
      <w:r w:rsidR="00EE17E8">
        <w:rPr>
          <w:rFonts w:cs="Arial"/>
        </w:rPr>
        <w:t xml:space="preserve"> </w:t>
      </w:r>
      <w:r w:rsidR="0059026D">
        <w:rPr>
          <w:rFonts w:cs="Arial"/>
        </w:rPr>
        <w:t>S.A</w:t>
      </w:r>
      <w:r w:rsidR="00A675E5">
        <w:rPr>
          <w:rFonts w:cs="Arial"/>
        </w:rPr>
        <w:t>.</w:t>
      </w:r>
      <w:r w:rsidR="0059026D">
        <w:rPr>
          <w:rFonts w:cs="Arial"/>
        </w:rPr>
        <w:t xml:space="preserve">, al amparo de lo establecido en el </w:t>
      </w:r>
      <w:r w:rsidR="00EE17E8">
        <w:rPr>
          <w:rFonts w:cs="Arial"/>
        </w:rPr>
        <w:t>N</w:t>
      </w:r>
      <w:r w:rsidR="0059026D">
        <w:rPr>
          <w:rFonts w:cs="Arial"/>
        </w:rPr>
        <w:t>umeral 3</w:t>
      </w:r>
      <w:r w:rsidR="00EE17E8">
        <w:rPr>
          <w:rFonts w:cs="Arial"/>
        </w:rPr>
        <w:t>)</w:t>
      </w:r>
      <w:r w:rsidR="0059026D">
        <w:rPr>
          <w:rFonts w:cs="Arial"/>
        </w:rPr>
        <w:t xml:space="preserve"> </w:t>
      </w:r>
      <w:r w:rsidR="00EE17E8">
        <w:rPr>
          <w:rFonts w:cs="Arial"/>
        </w:rPr>
        <w:t>L</w:t>
      </w:r>
      <w:r w:rsidR="0059026D">
        <w:rPr>
          <w:rFonts w:cs="Arial"/>
        </w:rPr>
        <w:t>iteral C) del Artículo 33 del TOCAF;</w:t>
      </w:r>
    </w:p>
    <w:p w:rsidR="00EE17E8" w:rsidRDefault="00E6740F" w:rsidP="00EE17E8">
      <w:pPr>
        <w:spacing w:line="360" w:lineRule="auto"/>
        <w:ind w:firstLine="851"/>
        <w:jc w:val="both"/>
        <w:rPr>
          <w:rFonts w:cs="Arial"/>
          <w:lang w:val="es-MX"/>
        </w:rPr>
      </w:pPr>
      <w:r w:rsidRPr="00E6740F">
        <w:rPr>
          <w:b/>
        </w:rPr>
        <w:t xml:space="preserve">RESULTANDO: </w:t>
      </w:r>
      <w:r w:rsidRPr="00EE17E8">
        <w:rPr>
          <w:b/>
        </w:rPr>
        <w:t>1)</w:t>
      </w:r>
      <w:r>
        <w:t xml:space="preserve"> que</w:t>
      </w:r>
      <w:r w:rsidR="008C02C5">
        <w:t xml:space="preserve"> por nota de fecha 16/10/2014, </w:t>
      </w:r>
      <w:proofErr w:type="spellStart"/>
      <w:r w:rsidR="008C02C5">
        <w:t>Tilsor</w:t>
      </w:r>
      <w:proofErr w:type="spellEnd"/>
      <w:r w:rsidR="008C02C5">
        <w:t xml:space="preserve"> S</w:t>
      </w:r>
      <w:r w:rsidR="00EE17E8">
        <w:t>.</w:t>
      </w:r>
      <w:r w:rsidR="008C02C5">
        <w:t>A</w:t>
      </w:r>
      <w:r w:rsidR="00EE17E8">
        <w:t>.</w:t>
      </w:r>
      <w:r w:rsidR="008C02C5">
        <w:t xml:space="preserve"> puso en conocimiento de la Administración el vencimiento de las </w:t>
      </w:r>
      <w:r w:rsidR="00A675E5">
        <w:t>L</w:t>
      </w:r>
      <w:r w:rsidR="008C02C5">
        <w:t xml:space="preserve">icencias </w:t>
      </w:r>
      <w:r w:rsidR="008C02C5">
        <w:rPr>
          <w:rFonts w:cs="Arial"/>
          <w:lang w:val="es-MX"/>
        </w:rPr>
        <w:t>de Soporte Técnico y Actualización de los siguientes productos:</w:t>
      </w:r>
    </w:p>
    <w:p w:rsidR="00EE17E8" w:rsidRPr="00EE17E8" w:rsidRDefault="008C02C5" w:rsidP="00EE17E8">
      <w:pPr>
        <w:spacing w:line="360" w:lineRule="auto"/>
        <w:ind w:left="851" w:hanging="851"/>
        <w:jc w:val="both"/>
        <w:rPr>
          <w:rFonts w:cs="Arial"/>
          <w:lang w:val="en-US"/>
        </w:rPr>
      </w:pPr>
      <w:r w:rsidRPr="00EE17E8">
        <w:rPr>
          <w:rFonts w:cs="Arial"/>
          <w:b/>
          <w:lang w:val="en-US"/>
        </w:rPr>
        <w:t>Item 1:</w:t>
      </w:r>
      <w:r w:rsidRPr="00EE17E8">
        <w:rPr>
          <w:rFonts w:cs="Arial"/>
          <w:lang w:val="en-US"/>
        </w:rPr>
        <w:t xml:space="preserve"> Internet Developer Suite, Oracle Business Intelligence Suite </w:t>
      </w:r>
      <w:proofErr w:type="spellStart"/>
      <w:r w:rsidRPr="00EE17E8">
        <w:rPr>
          <w:rFonts w:cs="Arial"/>
          <w:lang w:val="en-US"/>
        </w:rPr>
        <w:t>Enterprice</w:t>
      </w:r>
      <w:proofErr w:type="spellEnd"/>
      <w:r w:rsidRPr="00EE17E8">
        <w:rPr>
          <w:rFonts w:cs="Arial"/>
          <w:lang w:val="en-US"/>
        </w:rPr>
        <w:t xml:space="preserve"> Edition, Disconnected </w:t>
      </w:r>
      <w:proofErr w:type="spellStart"/>
      <w:r w:rsidRPr="00EE17E8">
        <w:rPr>
          <w:rFonts w:cs="Arial"/>
          <w:lang w:val="en-US"/>
        </w:rPr>
        <w:t>Anlytics</w:t>
      </w:r>
      <w:proofErr w:type="spellEnd"/>
      <w:r w:rsidRPr="00EE17E8">
        <w:rPr>
          <w:rFonts w:cs="Arial"/>
          <w:lang w:val="en-US"/>
        </w:rPr>
        <w:t xml:space="preserve">, </w:t>
      </w:r>
      <w:proofErr w:type="spellStart"/>
      <w:r w:rsidRPr="00EE17E8">
        <w:rPr>
          <w:rFonts w:cs="Arial"/>
          <w:lang w:val="en-US"/>
        </w:rPr>
        <w:t>Weblogic</w:t>
      </w:r>
      <w:proofErr w:type="spellEnd"/>
      <w:r w:rsidRPr="00EE17E8">
        <w:rPr>
          <w:rFonts w:cs="Arial"/>
          <w:lang w:val="en-US"/>
        </w:rPr>
        <w:t xml:space="preserve"> Suite, Business Process Management, </w:t>
      </w:r>
      <w:proofErr w:type="spellStart"/>
      <w:r w:rsidRPr="00EE17E8">
        <w:rPr>
          <w:rFonts w:cs="Arial"/>
          <w:lang w:val="en-US"/>
        </w:rPr>
        <w:t>Businness</w:t>
      </w:r>
      <w:proofErr w:type="spellEnd"/>
      <w:r w:rsidRPr="00EE17E8">
        <w:rPr>
          <w:rFonts w:cs="Arial"/>
          <w:lang w:val="en-US"/>
        </w:rPr>
        <w:t xml:space="preserve"> Intelligence Enterprise Edition, </w:t>
      </w:r>
      <w:proofErr w:type="spellStart"/>
      <w:r w:rsidRPr="00EE17E8">
        <w:rPr>
          <w:rFonts w:cs="Arial"/>
          <w:lang w:val="en-US"/>
        </w:rPr>
        <w:t>WebLogic</w:t>
      </w:r>
      <w:proofErr w:type="spellEnd"/>
      <w:r w:rsidRPr="00EE17E8">
        <w:rPr>
          <w:rFonts w:cs="Arial"/>
          <w:lang w:val="en-US"/>
        </w:rPr>
        <w:t xml:space="preserve"> Suite, BPM Suite y IAS Enterprise Edition, </w:t>
      </w:r>
      <w:proofErr w:type="spellStart"/>
      <w:r w:rsidRPr="00EE17E8">
        <w:rPr>
          <w:rFonts w:cs="Arial"/>
          <w:lang w:val="en-US"/>
        </w:rPr>
        <w:t>por</w:t>
      </w:r>
      <w:proofErr w:type="spellEnd"/>
      <w:r w:rsidRPr="00EE17E8">
        <w:rPr>
          <w:rFonts w:cs="Arial"/>
          <w:lang w:val="en-US"/>
        </w:rPr>
        <w:t xml:space="preserve"> un </w:t>
      </w:r>
      <w:proofErr w:type="spellStart"/>
      <w:r w:rsidRPr="00EE17E8">
        <w:rPr>
          <w:rFonts w:cs="Arial"/>
          <w:lang w:val="en-US"/>
        </w:rPr>
        <w:t>precio</w:t>
      </w:r>
      <w:proofErr w:type="spellEnd"/>
      <w:r w:rsidRPr="00EE17E8">
        <w:rPr>
          <w:rFonts w:cs="Arial"/>
          <w:lang w:val="en-US"/>
        </w:rPr>
        <w:t xml:space="preserve"> de </w:t>
      </w:r>
      <w:r w:rsidR="00EE17E8" w:rsidRPr="00EE17E8">
        <w:rPr>
          <w:rFonts w:cs="Arial"/>
          <w:lang w:val="en-US"/>
        </w:rPr>
        <w:t xml:space="preserve">              </w:t>
      </w:r>
      <w:r w:rsidRPr="00EE17E8">
        <w:rPr>
          <w:rFonts w:cs="Arial"/>
          <w:lang w:val="en-US"/>
        </w:rPr>
        <w:t>U$S 130.138,55 + IVA</w:t>
      </w:r>
      <w:r w:rsidR="00EE17E8" w:rsidRPr="00EE17E8">
        <w:rPr>
          <w:rFonts w:cs="Arial"/>
          <w:lang w:val="en-US"/>
        </w:rPr>
        <w:t>;</w:t>
      </w:r>
    </w:p>
    <w:p w:rsidR="008C02C5" w:rsidRDefault="008C02C5" w:rsidP="00EE17E8">
      <w:pPr>
        <w:spacing w:line="360" w:lineRule="auto"/>
        <w:ind w:left="851" w:hanging="851"/>
        <w:jc w:val="both"/>
        <w:rPr>
          <w:rFonts w:cs="Arial"/>
          <w:lang w:val="es-UY"/>
        </w:rPr>
      </w:pPr>
      <w:proofErr w:type="spellStart"/>
      <w:r w:rsidRPr="00256ED6">
        <w:rPr>
          <w:rFonts w:cs="Arial"/>
          <w:b/>
          <w:lang w:val="es-UY"/>
        </w:rPr>
        <w:t>Item</w:t>
      </w:r>
      <w:proofErr w:type="spellEnd"/>
      <w:r w:rsidRPr="00256ED6">
        <w:rPr>
          <w:rFonts w:cs="Arial"/>
          <w:b/>
          <w:lang w:val="es-UY"/>
        </w:rPr>
        <w:t xml:space="preserve"> 2:</w:t>
      </w:r>
      <w:r w:rsidRPr="00256ED6">
        <w:rPr>
          <w:rFonts w:cs="Arial"/>
          <w:lang w:val="es-UY"/>
        </w:rPr>
        <w:t xml:space="preserve"> Oracle </w:t>
      </w:r>
      <w:proofErr w:type="spellStart"/>
      <w:r w:rsidRPr="00256ED6">
        <w:rPr>
          <w:rFonts w:cs="Arial"/>
          <w:lang w:val="es-UY"/>
        </w:rPr>
        <w:t>Database</w:t>
      </w:r>
      <w:proofErr w:type="spellEnd"/>
      <w:r w:rsidRPr="00256ED6">
        <w:rPr>
          <w:rFonts w:cs="Arial"/>
          <w:lang w:val="es-UY"/>
        </w:rPr>
        <w:t xml:space="preserve"> Enterprise </w:t>
      </w:r>
      <w:proofErr w:type="spellStart"/>
      <w:r w:rsidRPr="00256ED6">
        <w:rPr>
          <w:rFonts w:cs="Arial"/>
          <w:lang w:val="es-UY"/>
        </w:rPr>
        <w:t>Edition</w:t>
      </w:r>
      <w:proofErr w:type="spellEnd"/>
      <w:r>
        <w:rPr>
          <w:rFonts w:cs="Arial"/>
          <w:lang w:val="es-UY"/>
        </w:rPr>
        <w:t xml:space="preserve"> e</w:t>
      </w:r>
      <w:r w:rsidRPr="00256ED6">
        <w:rPr>
          <w:rFonts w:cs="Arial"/>
          <w:lang w:val="es-UY"/>
        </w:rPr>
        <w:t xml:space="preserve"> IAS EE</w:t>
      </w:r>
      <w:r>
        <w:rPr>
          <w:rFonts w:cs="Arial"/>
          <w:lang w:val="es-UY"/>
        </w:rPr>
        <w:t xml:space="preserve">, por </w:t>
      </w:r>
      <w:r w:rsidRPr="006E3BCD">
        <w:rPr>
          <w:rFonts w:cs="Arial"/>
          <w:lang w:val="es-UY"/>
        </w:rPr>
        <w:t>U$S 12</w:t>
      </w:r>
      <w:r>
        <w:rPr>
          <w:rFonts w:cs="Arial"/>
          <w:lang w:val="es-UY"/>
        </w:rPr>
        <w:t>5.949,90</w:t>
      </w:r>
      <w:r w:rsidRPr="006E3BCD">
        <w:rPr>
          <w:rFonts w:cs="Arial"/>
          <w:lang w:val="es-UY"/>
        </w:rPr>
        <w:t xml:space="preserve"> + IVA </w:t>
      </w:r>
      <w:r>
        <w:rPr>
          <w:rFonts w:cs="Arial"/>
          <w:lang w:val="es-UY"/>
        </w:rPr>
        <w:t>.El per</w:t>
      </w:r>
      <w:r w:rsidR="00A675E5">
        <w:rPr>
          <w:rFonts w:cs="Arial"/>
          <w:lang w:val="es-UY"/>
        </w:rPr>
        <w:t>í</w:t>
      </w:r>
      <w:r>
        <w:rPr>
          <w:rFonts w:cs="Arial"/>
          <w:lang w:val="es-UY"/>
        </w:rPr>
        <w:t>odo a renovar es del 01</w:t>
      </w:r>
      <w:r w:rsidR="0041584C">
        <w:rPr>
          <w:rFonts w:cs="Arial"/>
          <w:lang w:val="es-UY"/>
        </w:rPr>
        <w:t>/</w:t>
      </w:r>
      <w:r>
        <w:rPr>
          <w:rFonts w:cs="Arial"/>
          <w:lang w:val="es-UY"/>
        </w:rPr>
        <w:t>01</w:t>
      </w:r>
      <w:r w:rsidR="0041584C">
        <w:rPr>
          <w:rFonts w:cs="Arial"/>
          <w:lang w:val="es-UY"/>
        </w:rPr>
        <w:t>/</w:t>
      </w:r>
      <w:r>
        <w:rPr>
          <w:rFonts w:cs="Arial"/>
          <w:lang w:val="es-UY"/>
        </w:rPr>
        <w:t>2015 a 31</w:t>
      </w:r>
      <w:r w:rsidR="0041584C">
        <w:rPr>
          <w:rFonts w:cs="Arial"/>
          <w:lang w:val="es-UY"/>
        </w:rPr>
        <w:t>/</w:t>
      </w:r>
      <w:r>
        <w:rPr>
          <w:rFonts w:cs="Arial"/>
          <w:lang w:val="es-UY"/>
        </w:rPr>
        <w:t>12</w:t>
      </w:r>
      <w:r w:rsidR="0041584C">
        <w:rPr>
          <w:rFonts w:cs="Arial"/>
          <w:lang w:val="es-UY"/>
        </w:rPr>
        <w:t>/</w:t>
      </w:r>
      <w:r>
        <w:rPr>
          <w:rFonts w:cs="Arial"/>
          <w:lang w:val="es-UY"/>
        </w:rPr>
        <w:t>2015;</w:t>
      </w:r>
    </w:p>
    <w:p w:rsidR="00B32DC1" w:rsidRDefault="005619C9" w:rsidP="00EE17E8">
      <w:pPr>
        <w:spacing w:line="360" w:lineRule="auto"/>
        <w:ind w:firstLine="2694"/>
        <w:jc w:val="both"/>
        <w:rPr>
          <w:rFonts w:cs="Arial"/>
          <w:lang w:val="es-UY"/>
        </w:rPr>
      </w:pPr>
      <w:r w:rsidRPr="00EE17E8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que Oracle Argentina S.A</w:t>
      </w:r>
      <w:r w:rsidR="0041584C">
        <w:rPr>
          <w:rFonts w:cs="Arial"/>
          <w:lang w:val="es-UY"/>
        </w:rPr>
        <w:t>.</w:t>
      </w:r>
      <w:r>
        <w:rPr>
          <w:rFonts w:cs="Arial"/>
          <w:lang w:val="es-UY"/>
        </w:rPr>
        <w:t xml:space="preserve"> con fecha 09/10/2014, informa que </w:t>
      </w:r>
      <w:proofErr w:type="spellStart"/>
      <w:r>
        <w:rPr>
          <w:rFonts w:cs="Arial"/>
          <w:lang w:val="es-UY"/>
        </w:rPr>
        <w:t>Tilsor</w:t>
      </w:r>
      <w:proofErr w:type="spellEnd"/>
      <w:r>
        <w:rPr>
          <w:rFonts w:cs="Arial"/>
          <w:lang w:val="es-UY"/>
        </w:rPr>
        <w:t xml:space="preserve"> S.A</w:t>
      </w:r>
      <w:r w:rsidR="00A675E5">
        <w:rPr>
          <w:rFonts w:cs="Arial"/>
          <w:lang w:val="es-UY"/>
        </w:rPr>
        <w:t>.</w:t>
      </w:r>
      <w:r>
        <w:rPr>
          <w:rFonts w:cs="Arial"/>
          <w:lang w:val="es-UY"/>
        </w:rPr>
        <w:t xml:space="preserve">, conforme </w:t>
      </w:r>
      <w:r w:rsidR="00A675E5">
        <w:rPr>
          <w:rFonts w:cs="Arial"/>
          <w:lang w:val="es-UY"/>
        </w:rPr>
        <w:t>con el</w:t>
      </w:r>
      <w:r>
        <w:rPr>
          <w:rFonts w:cs="Arial"/>
          <w:lang w:val="es-UY"/>
        </w:rPr>
        <w:t xml:space="preserve"> contrato de distribución suscrito con fecha 11/07/2014, es el único autorizado por Oracle para que dentro de Uruguay renueve </w:t>
      </w:r>
      <w:r w:rsidR="00A675E5">
        <w:rPr>
          <w:rFonts w:cs="Arial"/>
          <w:lang w:val="es-UY"/>
        </w:rPr>
        <w:t>C</w:t>
      </w:r>
      <w:r>
        <w:rPr>
          <w:rFonts w:cs="Arial"/>
          <w:lang w:val="es-UY"/>
        </w:rPr>
        <w:t xml:space="preserve">ontratos de Soporte </w:t>
      </w:r>
      <w:r w:rsidR="00A675E5">
        <w:rPr>
          <w:rFonts w:cs="Arial"/>
          <w:lang w:val="es-UY"/>
        </w:rPr>
        <w:t>T</w:t>
      </w:r>
      <w:r>
        <w:rPr>
          <w:rFonts w:cs="Arial"/>
          <w:lang w:val="es-UY"/>
        </w:rPr>
        <w:t>écnico respecto de programas de tecnología y/o aplicaciones Oracle</w:t>
      </w:r>
      <w:r w:rsidR="00D053ED">
        <w:rPr>
          <w:rFonts w:cs="Arial"/>
          <w:lang w:val="es-UY"/>
        </w:rPr>
        <w:t>;</w:t>
      </w:r>
    </w:p>
    <w:p w:rsidR="00B32DC1" w:rsidRDefault="00AD785A" w:rsidP="00B32DC1">
      <w:pPr>
        <w:spacing w:line="360" w:lineRule="auto"/>
        <w:ind w:firstLine="2694"/>
        <w:jc w:val="both"/>
      </w:pPr>
      <w:r w:rsidRPr="00B32DC1">
        <w:rPr>
          <w:b/>
        </w:rPr>
        <w:t>3)</w:t>
      </w:r>
      <w:r>
        <w:t xml:space="preserve"> que la</w:t>
      </w:r>
      <w:r>
        <w:rPr>
          <w:rFonts w:cs="Arial"/>
          <w:lang w:val="es-UY"/>
        </w:rPr>
        <w:t xml:space="preserve"> Contaduría General de la Nación informa que el 31</w:t>
      </w:r>
      <w:r w:rsidR="0041584C">
        <w:rPr>
          <w:rFonts w:cs="Arial"/>
          <w:lang w:val="es-UY"/>
        </w:rPr>
        <w:t>/</w:t>
      </w:r>
      <w:r>
        <w:rPr>
          <w:rFonts w:cs="Arial"/>
          <w:lang w:val="es-UY"/>
        </w:rPr>
        <w:t>12</w:t>
      </w:r>
      <w:r w:rsidR="0041584C">
        <w:rPr>
          <w:rFonts w:cs="Arial"/>
          <w:lang w:val="es-UY"/>
        </w:rPr>
        <w:t>/</w:t>
      </w:r>
      <w:r>
        <w:rPr>
          <w:rFonts w:cs="Arial"/>
          <w:lang w:val="es-UY"/>
        </w:rPr>
        <w:t xml:space="preserve">2014 finaliza el contrato vigente para soporte técnico y </w:t>
      </w:r>
      <w:r>
        <w:rPr>
          <w:rFonts w:cs="Arial"/>
          <w:lang w:val="es-UY"/>
        </w:rPr>
        <w:lastRenderedPageBreak/>
        <w:t xml:space="preserve">actualización de </w:t>
      </w:r>
      <w:r w:rsidR="00A922B7">
        <w:rPr>
          <w:rFonts w:cs="Arial"/>
          <w:lang w:val="es-UY"/>
        </w:rPr>
        <w:t>L</w:t>
      </w:r>
      <w:r>
        <w:rPr>
          <w:rFonts w:cs="Arial"/>
          <w:lang w:val="es-UY"/>
        </w:rPr>
        <w:t>icencias Oracle, señalando la necesidad de contar con su renovación para el correcto funcionamiento de la infraestructura del Organismo;</w:t>
      </w:r>
      <w:r w:rsidR="00096FF5">
        <w:t xml:space="preserve">                              </w:t>
      </w:r>
    </w:p>
    <w:p w:rsidR="00096FF5" w:rsidRDefault="00096FF5" w:rsidP="00B32DC1">
      <w:pPr>
        <w:spacing w:line="360" w:lineRule="auto"/>
        <w:ind w:firstLine="2694"/>
        <w:jc w:val="both"/>
      </w:pPr>
      <w:r w:rsidRPr="00B32DC1">
        <w:rPr>
          <w:b/>
        </w:rPr>
        <w:t>4)</w:t>
      </w:r>
      <w:r>
        <w:t xml:space="preserve"> que se adjunta Proyecto de Resolución de la </w:t>
      </w:r>
      <w:r>
        <w:rPr>
          <w:rFonts w:cs="Arial"/>
          <w:lang w:val="es-UY"/>
        </w:rPr>
        <w:t>Contadora General de la Nación autorizando</w:t>
      </w:r>
      <w:r w:rsidR="005B410F">
        <w:rPr>
          <w:rFonts w:cs="Arial"/>
          <w:lang w:val="es-UY"/>
        </w:rPr>
        <w:t>,</w:t>
      </w:r>
      <w:r>
        <w:rPr>
          <w:rFonts w:cs="Arial"/>
          <w:lang w:val="es-UY"/>
        </w:rPr>
        <w:t xml:space="preserve"> al amparo del Numeral 3</w:t>
      </w:r>
      <w:r w:rsidR="00B32DC1">
        <w:rPr>
          <w:rFonts w:cs="Arial"/>
          <w:lang w:val="es-UY"/>
        </w:rPr>
        <w:t>)</w:t>
      </w:r>
      <w:r>
        <w:rPr>
          <w:rFonts w:cs="Arial"/>
          <w:lang w:val="es-UY"/>
        </w:rPr>
        <w:t xml:space="preserve"> del Literal C) del Artículo 33 del TOCAF, la renovación de las Licencias Oracle con la </w:t>
      </w:r>
      <w:r w:rsidR="00A922B7">
        <w:rPr>
          <w:rFonts w:cs="Arial"/>
          <w:lang w:val="es-UY"/>
        </w:rPr>
        <w:t>F</w:t>
      </w:r>
      <w:r>
        <w:rPr>
          <w:rFonts w:cs="Arial"/>
          <w:lang w:val="es-UY"/>
        </w:rPr>
        <w:t xml:space="preserve">irma </w:t>
      </w:r>
      <w:proofErr w:type="spellStart"/>
      <w:r>
        <w:rPr>
          <w:rFonts w:cs="Arial"/>
          <w:lang w:val="es-UY"/>
        </w:rPr>
        <w:t>Tilsor</w:t>
      </w:r>
      <w:proofErr w:type="spellEnd"/>
      <w:r>
        <w:rPr>
          <w:rFonts w:cs="Arial"/>
          <w:lang w:val="es-UY"/>
        </w:rPr>
        <w:t xml:space="preserve"> S</w:t>
      </w:r>
      <w:r w:rsidR="00B32DC1">
        <w:rPr>
          <w:rFonts w:cs="Arial"/>
          <w:lang w:val="es-UY"/>
        </w:rPr>
        <w:t>.</w:t>
      </w:r>
      <w:r>
        <w:rPr>
          <w:rFonts w:cs="Arial"/>
          <w:lang w:val="es-UY"/>
        </w:rPr>
        <w:t>A</w:t>
      </w:r>
      <w:r w:rsidR="00B32DC1">
        <w:rPr>
          <w:rFonts w:cs="Arial"/>
          <w:lang w:val="es-UY"/>
        </w:rPr>
        <w:t>.</w:t>
      </w:r>
      <w:r>
        <w:rPr>
          <w:rFonts w:cs="Arial"/>
          <w:lang w:val="es-UY"/>
        </w:rPr>
        <w:t>, por el per</w:t>
      </w:r>
      <w:r w:rsidR="00A922B7">
        <w:rPr>
          <w:rFonts w:cs="Arial"/>
          <w:lang w:val="es-UY"/>
        </w:rPr>
        <w:t>í</w:t>
      </w:r>
      <w:r>
        <w:rPr>
          <w:rFonts w:cs="Arial"/>
          <w:lang w:val="es-UY"/>
        </w:rPr>
        <w:t xml:space="preserve">odo 01/01/2015 – 31/12/.2015, por un costo total de U$S 312.427,90 IVA incluido, la erogación se atenderá con cargo al </w:t>
      </w:r>
      <w:r w:rsidR="005B410F">
        <w:rPr>
          <w:rFonts w:cs="Arial"/>
          <w:lang w:val="es-UY"/>
        </w:rPr>
        <w:t>E</w:t>
      </w:r>
      <w:r>
        <w:rPr>
          <w:rFonts w:cs="Arial"/>
          <w:lang w:val="es-UY"/>
        </w:rPr>
        <w:t xml:space="preserve">jercicio 2015, Objeto </w:t>
      </w:r>
      <w:r w:rsidR="00A922B7">
        <w:rPr>
          <w:rFonts w:cs="Arial"/>
          <w:lang w:val="es-UY"/>
        </w:rPr>
        <w:t xml:space="preserve">del </w:t>
      </w:r>
      <w:r>
        <w:rPr>
          <w:rFonts w:cs="Arial"/>
          <w:lang w:val="es-UY"/>
        </w:rPr>
        <w:t>Gasto 285, Financiación 1.1</w:t>
      </w:r>
      <w:r w:rsidR="005B410F">
        <w:rPr>
          <w:rFonts w:cs="Arial"/>
          <w:lang w:val="es-UY"/>
        </w:rPr>
        <w:t>;</w:t>
      </w:r>
    </w:p>
    <w:p w:rsidR="005B410F" w:rsidRDefault="000A55F2" w:rsidP="00B32DC1">
      <w:pPr>
        <w:spacing w:line="360" w:lineRule="auto"/>
        <w:ind w:firstLine="851"/>
        <w:jc w:val="both"/>
      </w:pPr>
      <w:r w:rsidRPr="000A55F2">
        <w:rPr>
          <w:b/>
        </w:rPr>
        <w:t>CONSIDERANDO:</w:t>
      </w:r>
      <w:r>
        <w:t xml:space="preserve"> que la contratación encuadra en la situación prevista en el Literal C) del Numeral 3</w:t>
      </w:r>
      <w:r w:rsidR="00B32DC1">
        <w:t>)</w:t>
      </w:r>
      <w:r>
        <w:t xml:space="preserve"> del Artículo 33 del T.O.C.A.F.</w:t>
      </w:r>
      <w:r w:rsidR="005B410F">
        <w:t>;</w:t>
      </w:r>
    </w:p>
    <w:p w:rsidR="0053594E" w:rsidRDefault="0053594E" w:rsidP="00B32DC1">
      <w:pPr>
        <w:spacing w:line="360" w:lineRule="auto"/>
        <w:ind w:firstLine="851"/>
        <w:jc w:val="both"/>
      </w:pPr>
    </w:p>
    <w:p w:rsidR="00E6740F" w:rsidRDefault="00865E88" w:rsidP="00B32DC1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53594E" w:rsidRPr="00865E88" w:rsidRDefault="0053594E" w:rsidP="00B32DC1">
      <w:pPr>
        <w:spacing w:line="360" w:lineRule="auto"/>
        <w:jc w:val="center"/>
        <w:rPr>
          <w:b/>
        </w:rPr>
      </w:pPr>
    </w:p>
    <w:p w:rsidR="00E6740F" w:rsidRDefault="00B32DC1" w:rsidP="00B32DC1">
      <w:pPr>
        <w:spacing w:line="360" w:lineRule="auto"/>
        <w:ind w:left="284" w:hanging="284"/>
        <w:jc w:val="both"/>
      </w:pPr>
      <w:r>
        <w:rPr>
          <w:b/>
        </w:rPr>
        <w:t xml:space="preserve">1) </w:t>
      </w:r>
      <w:r w:rsidR="00E957A1">
        <w:t xml:space="preserve">Dictada la Resolución por el Ordenador </w:t>
      </w:r>
      <w:r>
        <w:t>c</w:t>
      </w:r>
      <w:r w:rsidR="00E957A1">
        <w:t xml:space="preserve">ompetente </w:t>
      </w:r>
      <w:proofErr w:type="spellStart"/>
      <w:r w:rsidR="00E957A1">
        <w:t>cométese</w:t>
      </w:r>
      <w:proofErr w:type="spellEnd"/>
      <w:r w:rsidR="00E957A1">
        <w:t xml:space="preserve"> </w:t>
      </w:r>
      <w:r w:rsidR="00E54D6B">
        <w:t>a la Contadora Auditora destacad</w:t>
      </w:r>
      <w:r>
        <w:t>a</w:t>
      </w:r>
      <w:r w:rsidR="00E54D6B">
        <w:t xml:space="preserve"> ante el Ministerio de Economía y Fi</w:t>
      </w:r>
      <w:r w:rsidR="0041584C">
        <w:t>n</w:t>
      </w:r>
      <w:r w:rsidR="00E54D6B">
        <w:t xml:space="preserve">anzas la intervención del gasto de U$S 312.427.90 (IVA incluido) derivado de la renovación de las </w:t>
      </w:r>
      <w:r w:rsidR="00A922B7">
        <w:t>L</w:t>
      </w:r>
      <w:r w:rsidR="00E54D6B">
        <w:t xml:space="preserve">icencias Oracle con la </w:t>
      </w:r>
      <w:r w:rsidR="00A922B7">
        <w:t>F</w:t>
      </w:r>
      <w:r w:rsidR="00E54D6B">
        <w:t xml:space="preserve">irma </w:t>
      </w:r>
      <w:proofErr w:type="spellStart"/>
      <w:r w:rsidR="00E54D6B">
        <w:t>Tilsor</w:t>
      </w:r>
      <w:proofErr w:type="spellEnd"/>
      <w:r w:rsidR="00E54D6B">
        <w:t xml:space="preserve"> S</w:t>
      </w:r>
      <w:r>
        <w:t>.</w:t>
      </w:r>
      <w:r w:rsidR="00E54D6B">
        <w:t>A</w:t>
      </w:r>
      <w:r>
        <w:t>.</w:t>
      </w:r>
      <w:r w:rsidR="00E54D6B">
        <w:t xml:space="preserve"> por el periodo 01/01/2015-31/12/2015, previo control de su imputación en el Objeto del Gasto adecuado con disponibilidad suficiente, una vez abierto</w:t>
      </w:r>
      <w:r w:rsidR="00A922B7">
        <w:t>s</w:t>
      </w:r>
      <w:r w:rsidR="00E54D6B">
        <w:t xml:space="preserve"> los créditos del Ejercicio 2015, así como el control de lo dispuesto por el </w:t>
      </w:r>
      <w:r>
        <w:t>A</w:t>
      </w:r>
      <w:r w:rsidR="00E54D6B">
        <w:t>rtículo 3 de la Ley 18.244 de 27/12/2007;</w:t>
      </w:r>
    </w:p>
    <w:p w:rsidR="00FB6322" w:rsidRDefault="00B32DC1" w:rsidP="00B32DC1">
      <w:pPr>
        <w:pStyle w:val="Textoindependiente"/>
        <w:ind w:left="284" w:hanging="284"/>
        <w:rPr>
          <w:iCs/>
        </w:rPr>
      </w:pPr>
      <w:r>
        <w:rPr>
          <w:b/>
          <w:iCs/>
        </w:rPr>
        <w:t xml:space="preserve">2) </w:t>
      </w:r>
      <w:proofErr w:type="spellStart"/>
      <w:r w:rsidR="00FB6322">
        <w:rPr>
          <w:iCs/>
        </w:rPr>
        <w:t>Cométese</w:t>
      </w:r>
      <w:proofErr w:type="spellEnd"/>
      <w:r w:rsidR="00FB6322">
        <w:rPr>
          <w:iCs/>
        </w:rPr>
        <w:t xml:space="preserve"> asimismo a</w:t>
      </w:r>
      <w:r w:rsidR="00E54D6B">
        <w:rPr>
          <w:iCs/>
        </w:rPr>
        <w:t xml:space="preserve"> </w:t>
      </w:r>
      <w:r w:rsidR="00FB6322">
        <w:rPr>
          <w:iCs/>
        </w:rPr>
        <w:t>l</w:t>
      </w:r>
      <w:r w:rsidR="00E54D6B">
        <w:rPr>
          <w:iCs/>
        </w:rPr>
        <w:t>a</w:t>
      </w:r>
      <w:r w:rsidR="00FB6322">
        <w:rPr>
          <w:iCs/>
        </w:rPr>
        <w:t xml:space="preserve"> Contador</w:t>
      </w:r>
      <w:r w:rsidR="00E54D6B">
        <w:rPr>
          <w:iCs/>
        </w:rPr>
        <w:t>a</w:t>
      </w:r>
      <w:r w:rsidR="00FB6322">
        <w:rPr>
          <w:iCs/>
        </w:rPr>
        <w:t xml:space="preserve"> Auditor</w:t>
      </w:r>
      <w:r w:rsidR="00E54D6B">
        <w:rPr>
          <w:iCs/>
        </w:rPr>
        <w:t>a</w:t>
      </w:r>
      <w:r w:rsidR="00FB6322">
        <w:rPr>
          <w:iCs/>
        </w:rPr>
        <w:t xml:space="preserve"> la verificación de que la Resolución definitiva concuerde con las condiciones de contratación sometidas a este Tribunal (Artículo 8 de la Ordenanza </w:t>
      </w:r>
      <w:r w:rsidR="00A922B7">
        <w:rPr>
          <w:iCs/>
        </w:rPr>
        <w:t xml:space="preserve">de </w:t>
      </w:r>
      <w:r w:rsidR="00FB6322">
        <w:rPr>
          <w:iCs/>
        </w:rPr>
        <w:t xml:space="preserve">27 de mayo de 1958, en la redacción sustitutiva dispuesta por la Resolución del Tribunal de </w:t>
      </w:r>
      <w:r w:rsidR="00695F17">
        <w:rPr>
          <w:iCs/>
        </w:rPr>
        <w:t>Cuentas de 16 de junio de 2010)</w:t>
      </w:r>
      <w:r>
        <w:rPr>
          <w:iCs/>
        </w:rPr>
        <w:t>;</w:t>
      </w:r>
    </w:p>
    <w:p w:rsidR="00FB6322" w:rsidRDefault="00B32DC1" w:rsidP="00B32DC1">
      <w:pPr>
        <w:pStyle w:val="Textoindependiente"/>
        <w:rPr>
          <w:iCs/>
        </w:rPr>
      </w:pPr>
      <w:r>
        <w:rPr>
          <w:b/>
          <w:iCs/>
        </w:rPr>
        <w:t xml:space="preserve">3) </w:t>
      </w:r>
      <w:r w:rsidR="00FB6322">
        <w:rPr>
          <w:iCs/>
        </w:rPr>
        <w:t>Comuníquese a</w:t>
      </w:r>
      <w:r w:rsidR="00E54D6B">
        <w:rPr>
          <w:iCs/>
        </w:rPr>
        <w:t xml:space="preserve"> </w:t>
      </w:r>
      <w:r w:rsidR="00FB6322">
        <w:rPr>
          <w:iCs/>
        </w:rPr>
        <w:t>l</w:t>
      </w:r>
      <w:r w:rsidR="00E54D6B">
        <w:rPr>
          <w:iCs/>
        </w:rPr>
        <w:t>a</w:t>
      </w:r>
      <w:r w:rsidR="00FB6322">
        <w:rPr>
          <w:iCs/>
        </w:rPr>
        <w:t xml:space="preserve"> Contador</w:t>
      </w:r>
      <w:r w:rsidR="00E54D6B">
        <w:rPr>
          <w:iCs/>
        </w:rPr>
        <w:t>a</w:t>
      </w:r>
      <w:r w:rsidR="00FB6322">
        <w:rPr>
          <w:iCs/>
        </w:rPr>
        <w:t xml:space="preserve"> Auditor</w:t>
      </w:r>
      <w:r w:rsidR="00E54D6B">
        <w:rPr>
          <w:iCs/>
        </w:rPr>
        <w:t>a</w:t>
      </w:r>
      <w:r>
        <w:rPr>
          <w:iCs/>
        </w:rPr>
        <w:t>; y</w:t>
      </w:r>
      <w:r w:rsidR="00FB6322">
        <w:rPr>
          <w:iCs/>
        </w:rPr>
        <w:t xml:space="preserve"> </w:t>
      </w:r>
    </w:p>
    <w:p w:rsidR="00E6740F" w:rsidRDefault="00B32DC1" w:rsidP="00B32DC1">
      <w:pPr>
        <w:pStyle w:val="Textoindependiente"/>
      </w:pPr>
      <w:r>
        <w:rPr>
          <w:b/>
        </w:rPr>
        <w:t xml:space="preserve">4) </w:t>
      </w:r>
      <w:r w:rsidR="00FB6322">
        <w:t>Devuélvase.</w:t>
      </w:r>
    </w:p>
    <w:p w:rsidR="002C1AAF" w:rsidRDefault="00B32DC1" w:rsidP="00B32DC1">
      <w:pPr>
        <w:pStyle w:val="Textoindependiente"/>
      </w:pPr>
      <w:proofErr w:type="spellStart"/>
      <w:proofErr w:type="gramStart"/>
      <w:r>
        <w:t>sd</w:t>
      </w:r>
      <w:proofErr w:type="spellEnd"/>
      <w:proofErr w:type="gramEnd"/>
    </w:p>
    <w:p w:rsidR="002C1AAF" w:rsidRPr="00667C2A" w:rsidRDefault="002C1AAF" w:rsidP="00667C2A">
      <w:pPr>
        <w:spacing w:line="360" w:lineRule="auto"/>
        <w:ind w:firstLine="708"/>
        <w:jc w:val="both"/>
      </w:pPr>
    </w:p>
    <w:sectPr w:rsidR="002C1AAF" w:rsidRPr="00667C2A" w:rsidSect="00A918EF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F5" w:rsidRDefault="00096FF5" w:rsidP="00E6740F">
      <w:r>
        <w:separator/>
      </w:r>
    </w:p>
  </w:endnote>
  <w:endnote w:type="continuationSeparator" w:id="0">
    <w:p w:rsidR="00096FF5" w:rsidRDefault="00096FF5" w:rsidP="00E6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146666"/>
      <w:docPartObj>
        <w:docPartGallery w:val="Page Numbers (Bottom of Page)"/>
        <w:docPartUnique/>
      </w:docPartObj>
    </w:sdtPr>
    <w:sdtEndPr/>
    <w:sdtContent>
      <w:p w:rsidR="00096FF5" w:rsidRDefault="00096F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86C">
          <w:rPr>
            <w:noProof/>
          </w:rPr>
          <w:t>1</w:t>
        </w:r>
        <w:r>
          <w:fldChar w:fldCharType="end"/>
        </w:r>
      </w:p>
    </w:sdtContent>
  </w:sdt>
  <w:p w:rsidR="00096FF5" w:rsidRDefault="00096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F5" w:rsidRDefault="00096FF5" w:rsidP="00E6740F">
      <w:r>
        <w:separator/>
      </w:r>
    </w:p>
  </w:footnote>
  <w:footnote w:type="continuationSeparator" w:id="0">
    <w:p w:rsidR="00096FF5" w:rsidRDefault="00096FF5" w:rsidP="00E6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6F3"/>
    <w:multiLevelType w:val="hybridMultilevel"/>
    <w:tmpl w:val="16200D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5A00"/>
    <w:multiLevelType w:val="hybridMultilevel"/>
    <w:tmpl w:val="16ECC4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E4D3B"/>
    <w:multiLevelType w:val="hybridMultilevel"/>
    <w:tmpl w:val="B344A7C8"/>
    <w:lvl w:ilvl="0" w:tplc="AE16F53C">
      <w:start w:val="1"/>
      <w:numFmt w:val="upperRoman"/>
      <w:lvlText w:val="%1)"/>
      <w:lvlJc w:val="left"/>
      <w:pPr>
        <w:ind w:left="213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76D73CE"/>
    <w:multiLevelType w:val="hybridMultilevel"/>
    <w:tmpl w:val="1DCCA614"/>
    <w:lvl w:ilvl="0" w:tplc="3E9A27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62721"/>
    <w:multiLevelType w:val="hybridMultilevel"/>
    <w:tmpl w:val="CDB04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FD"/>
    <w:rsid w:val="00001892"/>
    <w:rsid w:val="0009067C"/>
    <w:rsid w:val="0009301C"/>
    <w:rsid w:val="00096FF5"/>
    <w:rsid w:val="000A55F2"/>
    <w:rsid w:val="0014118B"/>
    <w:rsid w:val="00141803"/>
    <w:rsid w:val="00142088"/>
    <w:rsid w:val="00147920"/>
    <w:rsid w:val="001C081E"/>
    <w:rsid w:val="001E3821"/>
    <w:rsid w:val="0020392F"/>
    <w:rsid w:val="002C1AAF"/>
    <w:rsid w:val="003B551D"/>
    <w:rsid w:val="003D3CD0"/>
    <w:rsid w:val="003D5D3D"/>
    <w:rsid w:val="00414272"/>
    <w:rsid w:val="0041584C"/>
    <w:rsid w:val="004B430E"/>
    <w:rsid w:val="0051498A"/>
    <w:rsid w:val="00514BAC"/>
    <w:rsid w:val="0051650E"/>
    <w:rsid w:val="005207E8"/>
    <w:rsid w:val="0053594E"/>
    <w:rsid w:val="005619C9"/>
    <w:rsid w:val="00564503"/>
    <w:rsid w:val="0059026D"/>
    <w:rsid w:val="005B410F"/>
    <w:rsid w:val="00667C2A"/>
    <w:rsid w:val="00695F17"/>
    <w:rsid w:val="006D2842"/>
    <w:rsid w:val="00722EC4"/>
    <w:rsid w:val="00750954"/>
    <w:rsid w:val="00755161"/>
    <w:rsid w:val="007558C8"/>
    <w:rsid w:val="007651F9"/>
    <w:rsid w:val="007752F4"/>
    <w:rsid w:val="00775661"/>
    <w:rsid w:val="007A12A4"/>
    <w:rsid w:val="007B5F64"/>
    <w:rsid w:val="007E0476"/>
    <w:rsid w:val="007F1A35"/>
    <w:rsid w:val="00841AD4"/>
    <w:rsid w:val="00856F2E"/>
    <w:rsid w:val="0086003C"/>
    <w:rsid w:val="00865E88"/>
    <w:rsid w:val="008C02C5"/>
    <w:rsid w:val="008C26EB"/>
    <w:rsid w:val="008E11D0"/>
    <w:rsid w:val="00974405"/>
    <w:rsid w:val="009853D1"/>
    <w:rsid w:val="009953A2"/>
    <w:rsid w:val="009C1973"/>
    <w:rsid w:val="00A33567"/>
    <w:rsid w:val="00A42E9D"/>
    <w:rsid w:val="00A675E5"/>
    <w:rsid w:val="00A918EF"/>
    <w:rsid w:val="00A922B7"/>
    <w:rsid w:val="00AD785A"/>
    <w:rsid w:val="00B32DC1"/>
    <w:rsid w:val="00B62562"/>
    <w:rsid w:val="00B8096D"/>
    <w:rsid w:val="00BD3457"/>
    <w:rsid w:val="00BD6D64"/>
    <w:rsid w:val="00C2056E"/>
    <w:rsid w:val="00C57FF2"/>
    <w:rsid w:val="00C63ECB"/>
    <w:rsid w:val="00C72A4D"/>
    <w:rsid w:val="00C95CFD"/>
    <w:rsid w:val="00CB0D25"/>
    <w:rsid w:val="00D003B6"/>
    <w:rsid w:val="00D053ED"/>
    <w:rsid w:val="00D871DA"/>
    <w:rsid w:val="00E0486C"/>
    <w:rsid w:val="00E2653B"/>
    <w:rsid w:val="00E31CAA"/>
    <w:rsid w:val="00E44B81"/>
    <w:rsid w:val="00E54D6B"/>
    <w:rsid w:val="00E66BA3"/>
    <w:rsid w:val="00E6740F"/>
    <w:rsid w:val="00E957A1"/>
    <w:rsid w:val="00EE17E8"/>
    <w:rsid w:val="00EF443C"/>
    <w:rsid w:val="00F61537"/>
    <w:rsid w:val="00FB6322"/>
    <w:rsid w:val="00FD59CF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FB6322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B6322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FB6322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B6322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23B0-37E8-4293-BD43-838C055D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11418660</cp:lastModifiedBy>
  <cp:revision>2</cp:revision>
  <cp:lastPrinted>2014-12-04T20:03:00Z</cp:lastPrinted>
  <dcterms:created xsi:type="dcterms:W3CDTF">2014-12-05T16:09:00Z</dcterms:created>
  <dcterms:modified xsi:type="dcterms:W3CDTF">2014-12-05T16:09:00Z</dcterms:modified>
</cp:coreProperties>
</file>