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3E" w:rsidRDefault="00D860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RESOLUCION </w:t>
      </w:r>
      <w:bookmarkStart w:id="0" w:name="_GoBack"/>
      <w:bookmarkEnd w:id="0"/>
      <w:r>
        <w:rPr>
          <w:rFonts w:ascii="Helvetica" w:hAnsi="Helvetica"/>
          <w:b/>
          <w:lang w:val="es-ES_tradnl"/>
        </w:rPr>
        <w:t>ADOPTADA POR EL</w:t>
      </w:r>
    </w:p>
    <w:p w:rsidR="00D8603E" w:rsidRDefault="00D8603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8603E" w:rsidRDefault="00D860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8603E" w:rsidRDefault="00D8603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8603E" w:rsidRDefault="00D860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19 DE NOVIEMBRE DE 2014</w:t>
      </w:r>
    </w:p>
    <w:p w:rsidR="00D8603E" w:rsidRDefault="00D860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8603E" w:rsidRPr="00D8603E" w:rsidRDefault="00D860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8603E">
        <w:rPr>
          <w:rFonts w:ascii="Helvetica" w:hAnsi="Helvetica"/>
          <w:b/>
          <w:lang w:val="es-UY"/>
        </w:rPr>
        <w:t xml:space="preserve">(E. E. Nº 2014-17-1-0001333, </w:t>
      </w:r>
      <w:proofErr w:type="spellStart"/>
      <w:r w:rsidRPr="00D8603E">
        <w:rPr>
          <w:rFonts w:ascii="Helvetica" w:hAnsi="Helvetica"/>
          <w:b/>
          <w:lang w:val="es-UY"/>
        </w:rPr>
        <w:t>Ent</w:t>
      </w:r>
      <w:proofErr w:type="spellEnd"/>
      <w:r w:rsidRPr="00D8603E">
        <w:rPr>
          <w:rFonts w:ascii="Helvetica" w:hAnsi="Helvetica"/>
          <w:b/>
          <w:lang w:val="es-UY"/>
        </w:rPr>
        <w:t>. N° 6678/14)</w:t>
      </w:r>
    </w:p>
    <w:p w:rsidR="00D8603E" w:rsidRPr="00D8603E" w:rsidRDefault="00D8603E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D8603E" w:rsidRPr="00D8603E" w:rsidRDefault="00D8603E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807DC6" w:rsidRDefault="00D8603E" w:rsidP="00A91C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A91C20" w:rsidRPr="000F4512">
        <w:rPr>
          <w:rFonts w:ascii="Arial" w:hAnsi="Arial" w:cs="Arial"/>
          <w:b/>
        </w:rPr>
        <w:t>VISTO:</w:t>
      </w:r>
      <w:r w:rsidR="00A91C20">
        <w:rPr>
          <w:rFonts w:ascii="Arial" w:hAnsi="Arial" w:cs="Arial"/>
        </w:rPr>
        <w:t xml:space="preserve"> las nuevas actuaciones remitidas por el Ministerio de Transporte y Obras Públicas relacionadas con</w:t>
      </w:r>
      <w:r w:rsidR="005E21AF" w:rsidRPr="005E21AF">
        <w:rPr>
          <w:rFonts w:ascii="Arial" w:hAnsi="Arial" w:cs="Arial"/>
        </w:rPr>
        <w:t xml:space="preserve"> </w:t>
      </w:r>
      <w:r w:rsidR="005E21AF">
        <w:rPr>
          <w:rFonts w:ascii="Arial" w:hAnsi="Arial" w:cs="Arial"/>
        </w:rPr>
        <w:t xml:space="preserve">la Licitación Pública Nº 8/2013, cuyo objeto es la “Iluminación de la Ruta 3, Tramo </w:t>
      </w:r>
      <w:proofErr w:type="spellStart"/>
      <w:r w:rsidR="005E21AF">
        <w:rPr>
          <w:rFonts w:ascii="Arial" w:hAnsi="Arial" w:cs="Arial"/>
        </w:rPr>
        <w:t>Dayman</w:t>
      </w:r>
      <w:proofErr w:type="spellEnd"/>
      <w:r w:rsidR="005E21AF">
        <w:rPr>
          <w:rFonts w:ascii="Arial" w:hAnsi="Arial" w:cs="Arial"/>
        </w:rPr>
        <w:t xml:space="preserve"> - Salto”; </w:t>
      </w:r>
    </w:p>
    <w:p w:rsidR="00D347AD" w:rsidRDefault="00D8603E" w:rsidP="006221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A91C20" w:rsidRPr="00183D71">
        <w:rPr>
          <w:rFonts w:ascii="Arial" w:hAnsi="Arial" w:cs="Arial"/>
          <w:b/>
        </w:rPr>
        <w:t xml:space="preserve">RESULTANDO: 1) </w:t>
      </w:r>
      <w:r w:rsidR="006221D5" w:rsidRPr="006221D5">
        <w:rPr>
          <w:rFonts w:ascii="Arial" w:hAnsi="Arial" w:cs="Arial"/>
        </w:rPr>
        <w:t>que este Tribunal en Sesión de fecha 19 de marzo de 2014,</w:t>
      </w:r>
      <w:r w:rsidR="006221D5">
        <w:rPr>
          <w:rFonts w:ascii="Arial" w:hAnsi="Arial" w:cs="Arial"/>
        </w:rPr>
        <w:t xml:space="preserve"> acordó observar el gasto emergente de dicha contratación en virtud de que el mecanismo de ponderación de las ofertas establecido en el Pliego no se adecuaba a los mecanismos de evaluación de las ofertas requeridas por el T.O.C.A.F.;</w:t>
      </w:r>
    </w:p>
    <w:p w:rsidR="006221D5" w:rsidRPr="006221D5" w:rsidRDefault="00D8603E" w:rsidP="00D8603E">
      <w:pPr>
        <w:spacing w:line="360" w:lineRule="auto"/>
        <w:ind w:firstLine="25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347AD" w:rsidRPr="00D347AD">
        <w:rPr>
          <w:rFonts w:ascii="Arial" w:hAnsi="Arial" w:cs="Arial"/>
          <w:b/>
        </w:rPr>
        <w:t>2)</w:t>
      </w:r>
      <w:r w:rsidR="00D347AD">
        <w:rPr>
          <w:rFonts w:ascii="Arial" w:hAnsi="Arial" w:cs="Arial"/>
        </w:rPr>
        <w:t xml:space="preserve"> que por Resolución de 31 de marzo de 2014 se insistió en el gasto y este Tribunal, en sesión de 30 de abril de 2014 mantuvo la observación formulada;</w:t>
      </w:r>
      <w:r w:rsidR="006221D5">
        <w:rPr>
          <w:rFonts w:ascii="Arial" w:hAnsi="Arial" w:cs="Arial"/>
        </w:rPr>
        <w:t xml:space="preserve"> </w:t>
      </w:r>
    </w:p>
    <w:p w:rsidR="006221D5" w:rsidRDefault="00D8603E" w:rsidP="00D8603E">
      <w:pPr>
        <w:pStyle w:val="Sangra2detindependiente"/>
        <w:tabs>
          <w:tab w:val="left" w:pos="-720"/>
        </w:tabs>
        <w:suppressAutoHyphens/>
        <w:ind w:left="0" w:firstLine="2552"/>
        <w:rPr>
          <w:lang w:val="es-UY"/>
        </w:rPr>
      </w:pPr>
      <w:r>
        <w:rPr>
          <w:b/>
          <w:color w:val="auto"/>
          <w:szCs w:val="24"/>
          <w:lang w:val="es-ES"/>
        </w:rPr>
        <w:t xml:space="preserve"> </w:t>
      </w:r>
      <w:r w:rsidR="00D347AD">
        <w:rPr>
          <w:b/>
          <w:color w:val="auto"/>
          <w:szCs w:val="24"/>
          <w:lang w:val="es-ES"/>
        </w:rPr>
        <w:t>3</w:t>
      </w:r>
      <w:r w:rsidR="006221D5" w:rsidRPr="006221D5">
        <w:rPr>
          <w:b/>
          <w:color w:val="auto"/>
          <w:szCs w:val="24"/>
          <w:lang w:val="es-ES"/>
        </w:rPr>
        <w:t>)</w:t>
      </w:r>
      <w:r w:rsidR="006221D5">
        <w:rPr>
          <w:rFonts w:ascii="Times New Roman" w:hAnsi="Times New Roman" w:cs="Times New Roman"/>
          <w:color w:val="auto"/>
          <w:szCs w:val="24"/>
          <w:lang w:val="es-ES"/>
        </w:rPr>
        <w:t xml:space="preserve"> </w:t>
      </w:r>
      <w:r w:rsidR="006221D5" w:rsidRPr="006221D5">
        <w:rPr>
          <w:color w:val="auto"/>
          <w:szCs w:val="24"/>
          <w:lang w:val="es-ES"/>
        </w:rPr>
        <w:t>que e</w:t>
      </w:r>
      <w:r w:rsidR="006221D5">
        <w:rPr>
          <w:lang w:val="es-UY"/>
        </w:rPr>
        <w:t xml:space="preserve">n </w:t>
      </w:r>
      <w:r w:rsidR="006221D5" w:rsidRPr="00744589">
        <w:rPr>
          <w:lang w:val="es-UY"/>
        </w:rPr>
        <w:t>Sesión de fecha 14 de agosto de 2014,</w:t>
      </w:r>
      <w:r w:rsidR="006221D5">
        <w:rPr>
          <w:lang w:val="es-UY"/>
        </w:rPr>
        <w:t xml:space="preserve"> este Tribunal acordó observar el gasto emergente de la diferencia entre el monto oportunamente observado</w:t>
      </w:r>
      <w:r w:rsidR="00744589">
        <w:rPr>
          <w:lang w:val="es-UY"/>
        </w:rPr>
        <w:t xml:space="preserve"> ($ 20:794.078,22 IVA incluido, más mayores costos y un 10% de imprevistos)</w:t>
      </w:r>
      <w:r w:rsidR="006221D5">
        <w:rPr>
          <w:lang w:val="es-UY"/>
        </w:rPr>
        <w:t xml:space="preserve"> y el de $ 22:200.463, por los motivos expresados en la Resolución de fecha 19 de marzo de 2014</w:t>
      </w:r>
      <w:r w:rsidR="00C2287D">
        <w:rPr>
          <w:lang w:val="es-UY"/>
        </w:rPr>
        <w:t xml:space="preserve">; </w:t>
      </w:r>
    </w:p>
    <w:p w:rsidR="008430F3" w:rsidRDefault="00D8603E" w:rsidP="00D8603E">
      <w:pPr>
        <w:pStyle w:val="Sangra2detindependiente"/>
        <w:tabs>
          <w:tab w:val="left" w:pos="-720"/>
        </w:tabs>
        <w:suppressAutoHyphens/>
        <w:ind w:left="0" w:firstLine="2552"/>
        <w:rPr>
          <w:lang w:val="es-UY"/>
        </w:rPr>
      </w:pPr>
      <w:r>
        <w:rPr>
          <w:b/>
          <w:color w:val="auto"/>
          <w:szCs w:val="24"/>
          <w:lang w:val="es-ES"/>
        </w:rPr>
        <w:t xml:space="preserve"> </w:t>
      </w:r>
      <w:r w:rsidR="00D347AD">
        <w:rPr>
          <w:b/>
          <w:color w:val="auto"/>
          <w:szCs w:val="24"/>
          <w:lang w:val="es-ES"/>
        </w:rPr>
        <w:t>4</w:t>
      </w:r>
      <w:r w:rsidR="008430F3" w:rsidRPr="006221D5">
        <w:rPr>
          <w:b/>
          <w:color w:val="auto"/>
          <w:szCs w:val="24"/>
          <w:lang w:val="es-ES"/>
        </w:rPr>
        <w:t>)</w:t>
      </w:r>
      <w:r w:rsidR="008430F3">
        <w:rPr>
          <w:rFonts w:ascii="Times New Roman" w:hAnsi="Times New Roman" w:cs="Times New Roman"/>
          <w:color w:val="auto"/>
          <w:szCs w:val="24"/>
          <w:lang w:val="es-ES"/>
        </w:rPr>
        <w:t xml:space="preserve"> </w:t>
      </w:r>
      <w:r w:rsidR="008430F3" w:rsidRPr="006221D5">
        <w:rPr>
          <w:color w:val="auto"/>
          <w:szCs w:val="24"/>
          <w:lang w:val="es-ES"/>
        </w:rPr>
        <w:t>que</w:t>
      </w:r>
      <w:r w:rsidR="008430F3">
        <w:rPr>
          <w:color w:val="auto"/>
          <w:szCs w:val="24"/>
          <w:lang w:val="es-ES"/>
        </w:rPr>
        <w:t xml:space="preserve"> e</w:t>
      </w:r>
      <w:r w:rsidR="008430F3">
        <w:rPr>
          <w:lang w:val="es-UY"/>
        </w:rPr>
        <w:t xml:space="preserve">n </w:t>
      </w:r>
      <w:r w:rsidR="008430F3" w:rsidRPr="008430F3">
        <w:rPr>
          <w:lang w:val="es-UY"/>
        </w:rPr>
        <w:t>Sesión de fecha 15 de octubre de 2014,</w:t>
      </w:r>
      <w:r w:rsidR="008430F3">
        <w:rPr>
          <w:lang w:val="es-UY"/>
        </w:rPr>
        <w:t xml:space="preserve"> este Tribunal consideró la Resolución del Poder Ejecutivo de fecha 9 de setiembre de 2014, mediante la cual</w:t>
      </w:r>
      <w:r w:rsidR="00D347AD">
        <w:rPr>
          <w:lang w:val="es-UY"/>
        </w:rPr>
        <w:t xml:space="preserve"> se </w:t>
      </w:r>
      <w:r w:rsidR="008430F3">
        <w:rPr>
          <w:lang w:val="es-UY"/>
        </w:rPr>
        <w:t xml:space="preserve"> adjudic</w:t>
      </w:r>
      <w:r w:rsidR="00D347AD">
        <w:rPr>
          <w:lang w:val="es-UY"/>
        </w:rPr>
        <w:t>a e</w:t>
      </w:r>
      <w:r w:rsidR="008430F3">
        <w:rPr>
          <w:lang w:val="es-UY"/>
        </w:rPr>
        <w:t xml:space="preserve"> insist</w:t>
      </w:r>
      <w:r w:rsidR="003D0672">
        <w:rPr>
          <w:lang w:val="es-UY"/>
        </w:rPr>
        <w:t>e</w:t>
      </w:r>
      <w:r w:rsidR="008430F3">
        <w:rPr>
          <w:lang w:val="es-UY"/>
        </w:rPr>
        <w:t xml:space="preserve"> en el gasto</w:t>
      </w:r>
      <w:r w:rsidR="003D0672">
        <w:rPr>
          <w:lang w:val="es-UY"/>
        </w:rPr>
        <w:t xml:space="preserve">. </w:t>
      </w:r>
      <w:r w:rsidR="008430F3">
        <w:rPr>
          <w:lang w:val="es-UY"/>
        </w:rPr>
        <w:t>En dicha oportunidad, se mantuvo la observación del gasto de fecha 19 de marzo de 2014</w:t>
      </w:r>
      <w:r w:rsidR="003D0672">
        <w:rPr>
          <w:lang w:val="es-UY"/>
        </w:rPr>
        <w:t>;</w:t>
      </w:r>
    </w:p>
    <w:p w:rsidR="00D8603E" w:rsidRDefault="00D8603E" w:rsidP="00D8603E">
      <w:pPr>
        <w:spacing w:line="360" w:lineRule="auto"/>
        <w:ind w:firstLine="2552"/>
        <w:jc w:val="both"/>
        <w:rPr>
          <w:rFonts w:ascii="Arial" w:hAnsi="Arial" w:cs="Arial"/>
          <w:iCs/>
        </w:rPr>
      </w:pPr>
      <w:r w:rsidRPr="00D8603E">
        <w:rPr>
          <w:rFonts w:ascii="Arial" w:hAnsi="Arial" w:cs="Arial"/>
          <w:b/>
          <w:spacing w:val="-6"/>
        </w:rPr>
        <w:t xml:space="preserve"> </w:t>
      </w:r>
      <w:r w:rsidR="003D0672" w:rsidRPr="00D8603E">
        <w:rPr>
          <w:rFonts w:ascii="Arial" w:hAnsi="Arial" w:cs="Arial"/>
          <w:b/>
          <w:spacing w:val="-6"/>
        </w:rPr>
        <w:t>5</w:t>
      </w:r>
      <w:r w:rsidR="0032213E" w:rsidRPr="00D8603E">
        <w:rPr>
          <w:rFonts w:ascii="Arial" w:hAnsi="Arial" w:cs="Arial"/>
          <w:b/>
          <w:spacing w:val="-6"/>
        </w:rPr>
        <w:t>)</w:t>
      </w:r>
      <w:r w:rsidR="0032213E" w:rsidRPr="00D8603E">
        <w:rPr>
          <w:spacing w:val="-6"/>
        </w:rPr>
        <w:t xml:space="preserve"> </w:t>
      </w:r>
      <w:r w:rsidR="0032213E" w:rsidRPr="00D8603E">
        <w:rPr>
          <w:rFonts w:ascii="Arial" w:hAnsi="Arial" w:cs="Arial"/>
          <w:spacing w:val="-6"/>
        </w:rPr>
        <w:t xml:space="preserve">que en la oportunidad se remite </w:t>
      </w:r>
      <w:r w:rsidR="006221D5" w:rsidRPr="00D8603E">
        <w:rPr>
          <w:rFonts w:ascii="Arial" w:hAnsi="Arial" w:cs="Arial"/>
          <w:iCs/>
          <w:spacing w:val="-6"/>
        </w:rPr>
        <w:t>Informe Nº</w:t>
      </w:r>
      <w:r w:rsidR="006221D5">
        <w:rPr>
          <w:rFonts w:ascii="Arial" w:hAnsi="Arial" w:cs="Arial"/>
          <w:iCs/>
        </w:rPr>
        <w:t xml:space="preserve"> 302/2014, de Asesoría Jurídica del Ministerio de Transporte y Obras Públicas, de fecha 23 </w:t>
      </w:r>
      <w:r w:rsidR="006221D5">
        <w:rPr>
          <w:rFonts w:ascii="Arial" w:hAnsi="Arial" w:cs="Arial"/>
          <w:iCs/>
        </w:rPr>
        <w:lastRenderedPageBreak/>
        <w:t>de setiembre de 2014, de</w:t>
      </w:r>
      <w:r w:rsidR="003D0672">
        <w:rPr>
          <w:rFonts w:ascii="Arial" w:hAnsi="Arial" w:cs="Arial"/>
          <w:iCs/>
        </w:rPr>
        <w:t>l que</w:t>
      </w:r>
      <w:r w:rsidR="006221D5">
        <w:rPr>
          <w:rFonts w:ascii="Arial" w:hAnsi="Arial" w:cs="Arial"/>
          <w:iCs/>
        </w:rPr>
        <w:t xml:space="preserve"> surge la tramitación de una ampliación equivalente al 42% del contrato básico y por el plazo de ejecución de 5 meses, al amparo de lo establecido en el Artículo 7</w:t>
      </w:r>
      <w:r w:rsidR="00F75084">
        <w:rPr>
          <w:rFonts w:ascii="Arial" w:hAnsi="Arial" w:cs="Arial"/>
          <w:iCs/>
        </w:rPr>
        <w:t>4</w:t>
      </w:r>
      <w:r w:rsidR="003D0672">
        <w:rPr>
          <w:rFonts w:ascii="Arial" w:hAnsi="Arial" w:cs="Arial"/>
          <w:iCs/>
        </w:rPr>
        <w:t xml:space="preserve"> del T.O.C.A.F.</w:t>
      </w:r>
      <w:r w:rsidR="006221D5">
        <w:rPr>
          <w:rFonts w:ascii="Arial" w:hAnsi="Arial" w:cs="Arial"/>
          <w:iCs/>
        </w:rPr>
        <w:t xml:space="preserve"> Según surge de dicho informe la empresa CABLEX S.A. ha prestado su conformidad respecto de dicha ampliación</w:t>
      </w:r>
      <w:r>
        <w:rPr>
          <w:rFonts w:ascii="Arial" w:hAnsi="Arial" w:cs="Arial"/>
          <w:iCs/>
        </w:rPr>
        <w:t>;</w:t>
      </w:r>
    </w:p>
    <w:p w:rsidR="006221D5" w:rsidRDefault="003D0672" w:rsidP="00D8603E">
      <w:pPr>
        <w:spacing w:line="360" w:lineRule="auto"/>
        <w:ind w:firstLine="2552"/>
        <w:jc w:val="both"/>
        <w:rPr>
          <w:rFonts w:ascii="Arial" w:hAnsi="Arial" w:cs="Arial"/>
          <w:iCs/>
        </w:rPr>
      </w:pPr>
      <w:r w:rsidRPr="00D8603E">
        <w:rPr>
          <w:rFonts w:ascii="Arial" w:hAnsi="Arial" w:cs="Arial"/>
          <w:b/>
          <w:spacing w:val="-8"/>
        </w:rPr>
        <w:t>6</w:t>
      </w:r>
      <w:r w:rsidR="0032213E" w:rsidRPr="00D8603E">
        <w:rPr>
          <w:rFonts w:ascii="Arial" w:hAnsi="Arial" w:cs="Arial"/>
          <w:b/>
          <w:spacing w:val="-8"/>
        </w:rPr>
        <w:t>)</w:t>
      </w:r>
      <w:r w:rsidR="0032213E" w:rsidRPr="00D8603E">
        <w:rPr>
          <w:spacing w:val="-8"/>
        </w:rPr>
        <w:t xml:space="preserve"> </w:t>
      </w:r>
      <w:r w:rsidR="0032213E" w:rsidRPr="00D8603E">
        <w:rPr>
          <w:rFonts w:ascii="Arial" w:hAnsi="Arial" w:cs="Arial"/>
          <w:spacing w:val="-8"/>
        </w:rPr>
        <w:t xml:space="preserve">que se adjunta Documento </w:t>
      </w:r>
      <w:r w:rsidR="006221D5" w:rsidRPr="00D8603E">
        <w:rPr>
          <w:rFonts w:ascii="Arial" w:hAnsi="Arial" w:cs="Arial"/>
          <w:iCs/>
          <w:spacing w:val="-8"/>
        </w:rPr>
        <w:t>de Afectación Nº</w:t>
      </w:r>
      <w:r w:rsidR="006221D5">
        <w:rPr>
          <w:rFonts w:ascii="Arial" w:hAnsi="Arial" w:cs="Arial"/>
          <w:iCs/>
        </w:rPr>
        <w:t xml:space="preserve"> 000903, de fecha 7 de octubre de 2014, Inciso 10, Unidad Ejecutora 003 Dirección Nacional de Vialidad, Financiamiento 11 Rentas Generales, por un total </w:t>
      </w:r>
      <w:proofErr w:type="gramStart"/>
      <w:r w:rsidR="006221D5">
        <w:rPr>
          <w:rFonts w:ascii="Arial" w:hAnsi="Arial" w:cs="Arial"/>
          <w:iCs/>
        </w:rPr>
        <w:t>nominal</w:t>
      </w:r>
      <w:proofErr w:type="gramEnd"/>
      <w:r w:rsidR="006221D5">
        <w:rPr>
          <w:rFonts w:ascii="Arial" w:hAnsi="Arial" w:cs="Arial"/>
          <w:iCs/>
        </w:rPr>
        <w:t xml:space="preserve"> de $ 500.000</w:t>
      </w:r>
      <w:r w:rsidR="0032213E">
        <w:rPr>
          <w:rFonts w:ascii="Arial" w:hAnsi="Arial" w:cs="Arial"/>
          <w:iCs/>
        </w:rPr>
        <w:t xml:space="preserve">; </w:t>
      </w:r>
    </w:p>
    <w:p w:rsidR="006221D5" w:rsidRDefault="003D0672" w:rsidP="00D8603E">
      <w:pPr>
        <w:spacing w:line="360" w:lineRule="auto"/>
        <w:ind w:firstLine="2552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7</w:t>
      </w:r>
      <w:r w:rsidR="0032213E" w:rsidRPr="006221D5">
        <w:rPr>
          <w:rFonts w:ascii="Arial" w:hAnsi="Arial" w:cs="Arial"/>
          <w:b/>
        </w:rPr>
        <w:t>)</w:t>
      </w:r>
      <w:r w:rsidR="0032213E">
        <w:t xml:space="preserve"> </w:t>
      </w:r>
      <w:r w:rsidR="006221D5">
        <w:rPr>
          <w:rFonts w:ascii="Arial" w:hAnsi="Arial" w:cs="Arial"/>
          <w:iCs/>
        </w:rPr>
        <w:t xml:space="preserve">que el Departamento de Seguridad en </w:t>
      </w:r>
      <w:proofErr w:type="gramStart"/>
      <w:r w:rsidR="006221D5">
        <w:rPr>
          <w:rFonts w:ascii="Arial" w:hAnsi="Arial" w:cs="Arial"/>
          <w:iCs/>
        </w:rPr>
        <w:t>el</w:t>
      </w:r>
      <w:proofErr w:type="gramEnd"/>
      <w:r w:rsidR="006221D5">
        <w:rPr>
          <w:rFonts w:ascii="Arial" w:hAnsi="Arial" w:cs="Arial"/>
          <w:iCs/>
        </w:rPr>
        <w:t xml:space="preserve"> Tránsito rectificó lo informado en cuanto al porcentaje de ampliación de contrato solicitado, correspondiendo un 42,162% y agregó la partida de</w:t>
      </w:r>
      <w:r w:rsidR="0032213E">
        <w:rPr>
          <w:rFonts w:ascii="Arial" w:hAnsi="Arial" w:cs="Arial"/>
          <w:iCs/>
        </w:rPr>
        <w:t xml:space="preserve"> 10% del total para imprevistos; </w:t>
      </w:r>
    </w:p>
    <w:p w:rsidR="006221D5" w:rsidRPr="004A7B53" w:rsidRDefault="00114C01" w:rsidP="00114C01">
      <w:pPr>
        <w:spacing w:line="360" w:lineRule="auto"/>
        <w:jc w:val="both"/>
        <w:rPr>
          <w:lang w:val="es-ES_tradnl"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20531F">
        <w:rPr>
          <w:rFonts w:ascii="Arial" w:hAnsi="Arial" w:cs="Arial"/>
          <w:b/>
        </w:rPr>
        <w:t xml:space="preserve">  </w:t>
      </w:r>
      <w:r w:rsidR="003D0672">
        <w:rPr>
          <w:rFonts w:ascii="Arial" w:hAnsi="Arial" w:cs="Arial"/>
          <w:b/>
        </w:rPr>
        <w:t>8</w:t>
      </w:r>
      <w:r w:rsidR="0032213E" w:rsidRPr="006221D5">
        <w:rPr>
          <w:rFonts w:ascii="Arial" w:hAnsi="Arial" w:cs="Arial"/>
          <w:b/>
        </w:rPr>
        <w:t>)</w:t>
      </w:r>
      <w:r w:rsidR="0032213E">
        <w:t xml:space="preserve"> </w:t>
      </w:r>
      <w:r w:rsidR="0032213E">
        <w:rPr>
          <w:rFonts w:ascii="Arial" w:hAnsi="Arial" w:cs="Arial"/>
          <w:iCs/>
        </w:rPr>
        <w:t xml:space="preserve">que se remite </w:t>
      </w:r>
      <w:r w:rsidR="006221D5" w:rsidRPr="004A7B53">
        <w:rPr>
          <w:rFonts w:ascii="Arial" w:hAnsi="Arial" w:cs="Arial"/>
          <w:iCs/>
        </w:rPr>
        <w:t>Proyecto de Resolución del Ministro de Transporte y Obras Públicas (en ejercicio de atribuciones delegadas)</w:t>
      </w:r>
      <w:r w:rsidR="006221D5">
        <w:rPr>
          <w:rFonts w:ascii="Arial" w:hAnsi="Arial" w:cs="Arial"/>
          <w:iCs/>
        </w:rPr>
        <w:t>, mediante el cual se amplía en la suma de $ 8:509.211,84 (IVA incluido)</w:t>
      </w:r>
      <w:r w:rsidR="0032213E">
        <w:rPr>
          <w:rFonts w:ascii="Arial" w:hAnsi="Arial" w:cs="Arial"/>
          <w:iCs/>
        </w:rPr>
        <w:t xml:space="preserve">; </w:t>
      </w:r>
    </w:p>
    <w:p w:rsidR="002815E5" w:rsidRDefault="00E36E8D" w:rsidP="00A91C20">
      <w:pPr>
        <w:spacing w:line="360" w:lineRule="auto"/>
        <w:jc w:val="both"/>
        <w:rPr>
          <w:rFonts w:ascii="Arial" w:hAnsi="Arial" w:cs="Arial"/>
          <w:iCs/>
        </w:rPr>
      </w:pPr>
      <w:r w:rsidRPr="0032213E">
        <w:rPr>
          <w:rFonts w:ascii="Arial" w:hAnsi="Arial" w:cs="Arial"/>
          <w:iCs/>
        </w:rPr>
        <w:tab/>
      </w:r>
      <w:r w:rsidRPr="0032213E">
        <w:rPr>
          <w:rFonts w:ascii="Arial" w:hAnsi="Arial" w:cs="Arial"/>
          <w:b/>
          <w:iCs/>
        </w:rPr>
        <w:t>CONSIDERANDO:</w:t>
      </w:r>
      <w:r w:rsidRPr="0032213E">
        <w:rPr>
          <w:rFonts w:ascii="Arial" w:hAnsi="Arial" w:cs="Arial"/>
          <w:iCs/>
        </w:rPr>
        <w:t xml:space="preserve"> </w:t>
      </w:r>
      <w:r w:rsidR="002815E5" w:rsidRPr="006E4BC4">
        <w:rPr>
          <w:rFonts w:ascii="Arial" w:hAnsi="Arial" w:cs="Arial"/>
          <w:b/>
          <w:iCs/>
        </w:rPr>
        <w:t>1)</w:t>
      </w:r>
      <w:r w:rsidR="00AF5FF2">
        <w:rPr>
          <w:rFonts w:ascii="Arial" w:hAnsi="Arial" w:cs="Arial"/>
          <w:iCs/>
        </w:rPr>
        <w:t xml:space="preserve"> </w:t>
      </w:r>
      <w:r w:rsidR="002815E5">
        <w:rPr>
          <w:rFonts w:ascii="Arial" w:hAnsi="Arial" w:cs="Arial"/>
          <w:iCs/>
        </w:rPr>
        <w:t xml:space="preserve"> </w:t>
      </w:r>
      <w:r w:rsidR="00CC7A5C" w:rsidRPr="00D321A9">
        <w:rPr>
          <w:rFonts w:ascii="Arial" w:hAnsi="Arial" w:cs="Arial"/>
          <w:lang w:val="es-UY"/>
        </w:rPr>
        <w:t xml:space="preserve">que </w:t>
      </w:r>
      <w:r w:rsidR="00E0009D">
        <w:rPr>
          <w:rFonts w:ascii="Arial" w:hAnsi="Arial" w:cs="Arial"/>
          <w:lang w:val="es-UY"/>
        </w:rPr>
        <w:t xml:space="preserve">en </w:t>
      </w:r>
      <w:r w:rsidR="00B655DB">
        <w:rPr>
          <w:rFonts w:ascii="Arial" w:hAnsi="Arial" w:cs="Arial"/>
          <w:lang w:val="es-UY"/>
        </w:rPr>
        <w:t>la Resolución de</w:t>
      </w:r>
      <w:r w:rsidR="00E0009D">
        <w:rPr>
          <w:rFonts w:ascii="Arial" w:hAnsi="Arial" w:cs="Arial"/>
          <w:lang w:val="es-UY"/>
        </w:rPr>
        <w:t xml:space="preserve"> 15 de octubre de 2014</w:t>
      </w:r>
      <w:r w:rsidR="00B655DB">
        <w:rPr>
          <w:rFonts w:ascii="Arial" w:hAnsi="Arial" w:cs="Arial"/>
          <w:lang w:val="es-UY"/>
        </w:rPr>
        <w:t xml:space="preserve"> (Resultando 4)</w:t>
      </w:r>
      <w:r w:rsidR="00E0009D">
        <w:rPr>
          <w:rFonts w:ascii="Arial" w:hAnsi="Arial" w:cs="Arial"/>
          <w:lang w:val="es-UY"/>
        </w:rPr>
        <w:t xml:space="preserve"> </w:t>
      </w:r>
      <w:r w:rsidR="00B655DB">
        <w:rPr>
          <w:rFonts w:ascii="Arial" w:hAnsi="Arial" w:cs="Arial"/>
          <w:lang w:val="es-UY"/>
        </w:rPr>
        <w:t xml:space="preserve">se padeció error ya que </w:t>
      </w:r>
      <w:r w:rsidR="00CC7A5C" w:rsidRPr="00D321A9">
        <w:rPr>
          <w:rFonts w:ascii="Arial" w:hAnsi="Arial" w:cs="Arial"/>
          <w:lang w:val="es-UY"/>
        </w:rPr>
        <w:t>correspondía mantener la observación formulada en Sesión de fecha 14 de agosto de 2014</w:t>
      </w:r>
      <w:r w:rsidR="00E0009D">
        <w:rPr>
          <w:rFonts w:ascii="Arial" w:hAnsi="Arial" w:cs="Arial"/>
          <w:lang w:val="es-UY"/>
        </w:rPr>
        <w:t xml:space="preserve"> (y no la formulada en Sesión de fecha 19 de marzo de 2014)</w:t>
      </w:r>
      <w:r w:rsidR="005408A6">
        <w:rPr>
          <w:rFonts w:ascii="Arial" w:hAnsi="Arial" w:cs="Arial"/>
          <w:lang w:val="es-UY"/>
        </w:rPr>
        <w:t xml:space="preserve">; </w:t>
      </w:r>
    </w:p>
    <w:p w:rsidR="0082728E" w:rsidRPr="0032213E" w:rsidRDefault="002815E5" w:rsidP="00A91C20">
      <w:pPr>
        <w:spacing w:line="360" w:lineRule="auto"/>
        <w:jc w:val="both"/>
        <w:rPr>
          <w:rFonts w:ascii="Arial" w:hAnsi="Arial" w:cs="Arial"/>
        </w:rPr>
      </w:pPr>
      <w:r w:rsidRPr="00E0009D">
        <w:rPr>
          <w:rFonts w:ascii="Arial" w:hAnsi="Arial" w:cs="Arial"/>
          <w:b/>
          <w:iCs/>
        </w:rPr>
        <w:t xml:space="preserve">                                        </w:t>
      </w:r>
      <w:r w:rsidR="00E0009D">
        <w:rPr>
          <w:rFonts w:ascii="Arial" w:hAnsi="Arial" w:cs="Arial"/>
          <w:b/>
          <w:iCs/>
        </w:rPr>
        <w:t xml:space="preserve"> </w:t>
      </w:r>
      <w:r w:rsidRPr="00E0009D">
        <w:rPr>
          <w:rFonts w:ascii="Arial" w:hAnsi="Arial" w:cs="Arial"/>
          <w:b/>
          <w:iCs/>
        </w:rPr>
        <w:t xml:space="preserve">       2)</w:t>
      </w:r>
      <w:r w:rsidR="00AF5FF2">
        <w:rPr>
          <w:rFonts w:ascii="Arial" w:hAnsi="Arial" w:cs="Arial"/>
          <w:iCs/>
        </w:rPr>
        <w:t xml:space="preserve"> </w:t>
      </w:r>
      <w:r w:rsidR="00E36E8D" w:rsidRPr="0032213E">
        <w:rPr>
          <w:rFonts w:ascii="Arial" w:hAnsi="Arial" w:cs="Arial"/>
          <w:iCs/>
        </w:rPr>
        <w:t>que el gasto resultante de la presente ampliación</w:t>
      </w:r>
      <w:r w:rsidR="00495DDB" w:rsidRPr="0032213E">
        <w:rPr>
          <w:rFonts w:ascii="Arial" w:hAnsi="Arial" w:cs="Arial"/>
          <w:iCs/>
        </w:rPr>
        <w:t xml:space="preserve"> deriva de un procedimiento oportunamente observado por el Tribunal; </w:t>
      </w:r>
      <w:r w:rsidR="00E36E8D" w:rsidRPr="0032213E">
        <w:rPr>
          <w:rFonts w:ascii="Arial" w:hAnsi="Arial" w:cs="Arial"/>
        </w:rPr>
        <w:t xml:space="preserve"> </w:t>
      </w:r>
    </w:p>
    <w:p w:rsidR="009A67DB" w:rsidRPr="0032213E" w:rsidRDefault="0032213E" w:rsidP="0032213E">
      <w:pPr>
        <w:pStyle w:val="Sangradetextonormal"/>
        <w:spacing w:line="360" w:lineRule="auto"/>
        <w:ind w:left="0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bCs/>
          <w:iCs/>
        </w:rPr>
        <w:t xml:space="preserve">         </w:t>
      </w:r>
      <w:r w:rsidR="00FD3E8E" w:rsidRPr="0032213E">
        <w:rPr>
          <w:rFonts w:ascii="Arial" w:hAnsi="Arial" w:cs="Arial"/>
          <w:b/>
          <w:bCs/>
          <w:iCs/>
        </w:rPr>
        <w:t>ATENTO:</w:t>
      </w:r>
      <w:r w:rsidR="00FD3E8E" w:rsidRPr="0032213E">
        <w:rPr>
          <w:rFonts w:ascii="Arial" w:hAnsi="Arial" w:cs="Arial"/>
          <w:bCs/>
          <w:iCs/>
        </w:rPr>
        <w:t xml:space="preserve"> </w:t>
      </w:r>
      <w:r w:rsidR="009A67DB" w:rsidRPr="0032213E">
        <w:rPr>
          <w:rFonts w:ascii="Arial" w:hAnsi="Arial" w:cs="Arial"/>
          <w:bCs/>
          <w:iCs/>
        </w:rPr>
        <w:t xml:space="preserve">a </w:t>
      </w:r>
      <w:r w:rsidR="009A67DB" w:rsidRPr="0032213E">
        <w:rPr>
          <w:rFonts w:ascii="Arial" w:hAnsi="Arial" w:cs="Arial"/>
          <w:spacing w:val="-3"/>
          <w:lang w:val="es-ES_tradnl"/>
        </w:rPr>
        <w:t xml:space="preserve">lo precedentemente expuesto </w:t>
      </w:r>
      <w:r w:rsidR="009A67DB" w:rsidRPr="0032213E">
        <w:rPr>
          <w:rFonts w:ascii="Arial" w:hAnsi="Arial" w:cs="Arial"/>
          <w:lang w:val="es-UY"/>
        </w:rPr>
        <w:t xml:space="preserve">y a lo establecido en el Artículo 211 </w:t>
      </w:r>
      <w:r w:rsidR="0097724E">
        <w:rPr>
          <w:rFonts w:ascii="Arial" w:hAnsi="Arial" w:cs="Arial"/>
          <w:lang w:val="es-UY"/>
        </w:rPr>
        <w:t>L</w:t>
      </w:r>
      <w:r w:rsidR="009A67DB" w:rsidRPr="0032213E">
        <w:rPr>
          <w:rFonts w:ascii="Arial" w:hAnsi="Arial" w:cs="Arial"/>
          <w:lang w:val="es-UY"/>
        </w:rPr>
        <w:t>iteral B) de la Constitución de la República;</w:t>
      </w:r>
    </w:p>
    <w:p w:rsidR="009A67DB" w:rsidRDefault="009A67DB" w:rsidP="009A67DB">
      <w:pPr>
        <w:pStyle w:val="Ttulo"/>
        <w:jc w:val="both"/>
        <w:rPr>
          <w:b w:val="0"/>
          <w:bCs/>
          <w:color w:val="FF0000"/>
          <w:u w:val="none"/>
        </w:rPr>
      </w:pPr>
    </w:p>
    <w:p w:rsidR="0097724E" w:rsidRDefault="0097724E" w:rsidP="009A67DB">
      <w:pPr>
        <w:pStyle w:val="Ttulo"/>
        <w:jc w:val="both"/>
        <w:rPr>
          <w:b w:val="0"/>
          <w:bCs/>
          <w:color w:val="FF0000"/>
          <w:u w:val="none"/>
        </w:rPr>
      </w:pPr>
    </w:p>
    <w:p w:rsidR="0097724E" w:rsidRPr="0097724E" w:rsidRDefault="0097724E" w:rsidP="009A67DB">
      <w:pPr>
        <w:pStyle w:val="Ttulo"/>
        <w:jc w:val="both"/>
        <w:rPr>
          <w:b w:val="0"/>
          <w:bCs/>
          <w:color w:val="FF0000"/>
          <w:u w:val="none"/>
        </w:rPr>
      </w:pPr>
    </w:p>
    <w:p w:rsidR="009A67DB" w:rsidRPr="0064371A" w:rsidRDefault="00F344B1" w:rsidP="00F344B1">
      <w:pPr>
        <w:pStyle w:val="Ttulo"/>
        <w:ind w:firstLine="708"/>
        <w:rPr>
          <w:u w:val="none"/>
          <w:lang w:val="es-ES_tradnl"/>
        </w:rPr>
      </w:pPr>
      <w:r w:rsidRPr="0064371A">
        <w:rPr>
          <w:u w:val="none"/>
          <w:lang w:val="es-ES_tradnl"/>
        </w:rPr>
        <w:lastRenderedPageBreak/>
        <w:t>EL TRIBUNAL ACUERDA</w:t>
      </w:r>
    </w:p>
    <w:p w:rsidR="00124433" w:rsidRDefault="0097724E" w:rsidP="0097724E">
      <w:pPr>
        <w:pStyle w:val="Prrafodelista"/>
        <w:spacing w:line="360" w:lineRule="auto"/>
        <w:ind w:left="284" w:hanging="284"/>
        <w:jc w:val="both"/>
        <w:rPr>
          <w:rFonts w:ascii="Arial" w:hAnsi="Arial" w:cs="Arial"/>
        </w:rPr>
      </w:pPr>
      <w:r w:rsidRPr="0097724E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124433">
        <w:rPr>
          <w:rFonts w:ascii="Arial" w:hAnsi="Arial" w:cs="Arial"/>
        </w:rPr>
        <w:t xml:space="preserve">Modificar el Acuerda </w:t>
      </w:r>
      <w:r w:rsidR="00B655DB">
        <w:rPr>
          <w:rFonts w:ascii="Arial" w:hAnsi="Arial" w:cs="Arial"/>
        </w:rPr>
        <w:t xml:space="preserve">1) </w:t>
      </w:r>
      <w:r w:rsidR="00124433">
        <w:rPr>
          <w:rFonts w:ascii="Arial" w:hAnsi="Arial" w:cs="Arial"/>
        </w:rPr>
        <w:t>de la Resolución dictada por este Tribunal en Sesión de fecha 15 de octubre de 2014: donde dice “19 de marzo de 2014”, debe decir  “14 de agosto de 2014”.</w:t>
      </w:r>
    </w:p>
    <w:p w:rsidR="00FD3E8E" w:rsidRPr="0064371A" w:rsidRDefault="0097724E" w:rsidP="0097724E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97724E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 w:rsidR="005F09CF" w:rsidRPr="0064371A">
        <w:rPr>
          <w:rFonts w:ascii="Arial" w:hAnsi="Arial" w:cs="Arial"/>
        </w:rPr>
        <w:t>Observar el gasto resultante de la ampliación remitida.</w:t>
      </w:r>
    </w:p>
    <w:p w:rsidR="005F09CF" w:rsidRPr="0064371A" w:rsidRDefault="0097724E" w:rsidP="0097724E">
      <w:pPr>
        <w:pStyle w:val="Prrafodelista"/>
        <w:spacing w:line="360" w:lineRule="auto"/>
        <w:ind w:left="284" w:hanging="284"/>
        <w:jc w:val="both"/>
        <w:rPr>
          <w:rFonts w:ascii="Arial" w:hAnsi="Arial" w:cs="Arial"/>
        </w:rPr>
      </w:pPr>
      <w:r w:rsidRPr="0097724E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914A0D" w:rsidRPr="0064371A">
        <w:rPr>
          <w:rFonts w:ascii="Arial" w:hAnsi="Arial" w:cs="Arial"/>
        </w:rPr>
        <w:t>Comunicar a la Contadora Auditora destacada ante el Ministerio de Transpor</w:t>
      </w:r>
      <w:r>
        <w:rPr>
          <w:rFonts w:ascii="Arial" w:hAnsi="Arial" w:cs="Arial"/>
        </w:rPr>
        <w:t>te y Obras Públicas; y</w:t>
      </w:r>
    </w:p>
    <w:p w:rsidR="00914A0D" w:rsidRPr="0064371A" w:rsidRDefault="0097724E" w:rsidP="0097724E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97724E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</w:t>
      </w:r>
      <w:r w:rsidR="00914A0D" w:rsidRPr="0064371A">
        <w:rPr>
          <w:rFonts w:ascii="Arial" w:hAnsi="Arial" w:cs="Arial"/>
        </w:rPr>
        <w:t>Devolver las actuaciones.</w:t>
      </w:r>
    </w:p>
    <w:p w:rsidR="00BF5C9D" w:rsidRDefault="00F344B1" w:rsidP="00D052A8">
      <w:pPr>
        <w:pStyle w:val="Ttulo"/>
        <w:ind w:left="720"/>
        <w:jc w:val="both"/>
        <w:rPr>
          <w:b w:val="0"/>
          <w:bCs/>
          <w:i/>
          <w:u w:val="none"/>
          <w:lang w:val="es-ES"/>
        </w:rPr>
      </w:pPr>
      <w:r>
        <w:rPr>
          <w:b w:val="0"/>
          <w:bCs/>
          <w:i/>
          <w:u w:val="none"/>
          <w:lang w:val="es-ES"/>
        </w:rPr>
        <w:t xml:space="preserve">                                                             </w:t>
      </w:r>
    </w:p>
    <w:p w:rsidR="0097724E" w:rsidRDefault="0097724E" w:rsidP="00D052A8">
      <w:pPr>
        <w:pStyle w:val="Ttulo"/>
        <w:ind w:left="720"/>
        <w:jc w:val="both"/>
        <w:rPr>
          <w:b w:val="0"/>
          <w:bCs/>
          <w:i/>
          <w:u w:val="none"/>
          <w:lang w:val="es-ES"/>
        </w:rPr>
      </w:pPr>
    </w:p>
    <w:p w:rsidR="0097724E" w:rsidRDefault="0097724E" w:rsidP="00D052A8">
      <w:pPr>
        <w:pStyle w:val="Ttulo"/>
        <w:ind w:left="720"/>
        <w:jc w:val="both"/>
        <w:rPr>
          <w:b w:val="0"/>
          <w:bCs/>
          <w:i/>
          <w:u w:val="none"/>
          <w:lang w:val="es-ES"/>
        </w:rPr>
      </w:pPr>
    </w:p>
    <w:p w:rsidR="0097724E" w:rsidRDefault="0097724E" w:rsidP="00D052A8">
      <w:pPr>
        <w:pStyle w:val="Ttulo"/>
        <w:ind w:left="720"/>
        <w:jc w:val="both"/>
        <w:rPr>
          <w:b w:val="0"/>
          <w:bCs/>
          <w:i/>
          <w:u w:val="none"/>
          <w:lang w:val="es-ES"/>
        </w:rPr>
      </w:pPr>
    </w:p>
    <w:p w:rsidR="0097724E" w:rsidRPr="0097724E" w:rsidRDefault="0097724E" w:rsidP="0097724E">
      <w:pPr>
        <w:pStyle w:val="Ttulo"/>
        <w:jc w:val="both"/>
        <w:rPr>
          <w:b w:val="0"/>
          <w:bCs/>
          <w:u w:val="none"/>
          <w:lang w:val="es-ES"/>
        </w:rPr>
      </w:pPr>
      <w:proofErr w:type="spellStart"/>
      <w:proofErr w:type="gramStart"/>
      <w:r>
        <w:rPr>
          <w:b w:val="0"/>
          <w:bCs/>
          <w:u w:val="none"/>
          <w:lang w:val="es-ES"/>
        </w:rPr>
        <w:t>cr</w:t>
      </w:r>
      <w:proofErr w:type="spellEnd"/>
      <w:proofErr w:type="gramEnd"/>
    </w:p>
    <w:sectPr w:rsidR="0097724E" w:rsidRPr="0097724E" w:rsidSect="00D8603E"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E92" w:rsidRDefault="00626E92" w:rsidP="00F95933">
      <w:r>
        <w:separator/>
      </w:r>
    </w:p>
  </w:endnote>
  <w:endnote w:type="continuationSeparator" w:id="0">
    <w:p w:rsidR="00626E92" w:rsidRDefault="00626E92" w:rsidP="00F9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517987"/>
      <w:docPartObj>
        <w:docPartGallery w:val="Page Numbers (Bottom of Page)"/>
        <w:docPartUnique/>
      </w:docPartObj>
    </w:sdtPr>
    <w:sdtEndPr/>
    <w:sdtContent>
      <w:p w:rsidR="00567AF4" w:rsidRDefault="00567AF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24E">
          <w:rPr>
            <w:noProof/>
          </w:rPr>
          <w:t>1</w:t>
        </w:r>
        <w:r>
          <w:fldChar w:fldCharType="end"/>
        </w:r>
      </w:p>
    </w:sdtContent>
  </w:sdt>
  <w:p w:rsidR="00567AF4" w:rsidRDefault="00567A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E92" w:rsidRDefault="00626E92" w:rsidP="00F95933">
      <w:r>
        <w:separator/>
      </w:r>
    </w:p>
  </w:footnote>
  <w:footnote w:type="continuationSeparator" w:id="0">
    <w:p w:rsidR="00626E92" w:rsidRDefault="00626E92" w:rsidP="00F9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0B9E"/>
    <w:multiLevelType w:val="hybridMultilevel"/>
    <w:tmpl w:val="4D4487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97E30"/>
    <w:multiLevelType w:val="hybridMultilevel"/>
    <w:tmpl w:val="C22823F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5864799"/>
    <w:multiLevelType w:val="hybridMultilevel"/>
    <w:tmpl w:val="11265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92AC3"/>
    <w:multiLevelType w:val="multilevel"/>
    <w:tmpl w:val="643A85FE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4">
    <w:nsid w:val="425461F3"/>
    <w:multiLevelType w:val="hybridMultilevel"/>
    <w:tmpl w:val="FCE6C57C"/>
    <w:lvl w:ilvl="0" w:tplc="0D5038E0">
      <w:start w:val="1"/>
      <w:numFmt w:val="upperRoman"/>
      <w:lvlText w:val="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743C0"/>
    <w:multiLevelType w:val="hybridMultilevel"/>
    <w:tmpl w:val="FCA881DE"/>
    <w:lvl w:ilvl="0" w:tplc="50007AD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E9A7C33"/>
    <w:multiLevelType w:val="hybridMultilevel"/>
    <w:tmpl w:val="1A3AA408"/>
    <w:lvl w:ilvl="0" w:tplc="93D01C2C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9E"/>
    <w:rsid w:val="00003791"/>
    <w:rsid w:val="000101DF"/>
    <w:rsid w:val="00047199"/>
    <w:rsid w:val="00075272"/>
    <w:rsid w:val="000C26E1"/>
    <w:rsid w:val="000E4553"/>
    <w:rsid w:val="00114C01"/>
    <w:rsid w:val="0012134A"/>
    <w:rsid w:val="00124433"/>
    <w:rsid w:val="001372B9"/>
    <w:rsid w:val="00141A1B"/>
    <w:rsid w:val="00142088"/>
    <w:rsid w:val="001533EB"/>
    <w:rsid w:val="00155419"/>
    <w:rsid w:val="001A7AF2"/>
    <w:rsid w:val="001D2D29"/>
    <w:rsid w:val="0020531F"/>
    <w:rsid w:val="00211D74"/>
    <w:rsid w:val="0021705F"/>
    <w:rsid w:val="00252B08"/>
    <w:rsid w:val="002815E5"/>
    <w:rsid w:val="00284A00"/>
    <w:rsid w:val="002D0326"/>
    <w:rsid w:val="002E344E"/>
    <w:rsid w:val="0031335C"/>
    <w:rsid w:val="00314324"/>
    <w:rsid w:val="00314E2D"/>
    <w:rsid w:val="00315A07"/>
    <w:rsid w:val="0032213E"/>
    <w:rsid w:val="00331B61"/>
    <w:rsid w:val="00345560"/>
    <w:rsid w:val="0036310C"/>
    <w:rsid w:val="003818D1"/>
    <w:rsid w:val="003D0672"/>
    <w:rsid w:val="003D70B8"/>
    <w:rsid w:val="003F3404"/>
    <w:rsid w:val="00414675"/>
    <w:rsid w:val="004270D7"/>
    <w:rsid w:val="00495DDB"/>
    <w:rsid w:val="004A7B53"/>
    <w:rsid w:val="004C0DE7"/>
    <w:rsid w:val="0052528F"/>
    <w:rsid w:val="005258FF"/>
    <w:rsid w:val="005369F2"/>
    <w:rsid w:val="005408A6"/>
    <w:rsid w:val="00567AF4"/>
    <w:rsid w:val="005E21AF"/>
    <w:rsid w:val="005F09CF"/>
    <w:rsid w:val="006221D5"/>
    <w:rsid w:val="00626E92"/>
    <w:rsid w:val="0064371A"/>
    <w:rsid w:val="00653A87"/>
    <w:rsid w:val="00661402"/>
    <w:rsid w:val="0067589E"/>
    <w:rsid w:val="006B096C"/>
    <w:rsid w:val="006B2A75"/>
    <w:rsid w:val="006E4BC4"/>
    <w:rsid w:val="00732A54"/>
    <w:rsid w:val="00740108"/>
    <w:rsid w:val="00744589"/>
    <w:rsid w:val="007E7B6C"/>
    <w:rsid w:val="00807DC6"/>
    <w:rsid w:val="0082728E"/>
    <w:rsid w:val="00841AD4"/>
    <w:rsid w:val="00842966"/>
    <w:rsid w:val="008430F3"/>
    <w:rsid w:val="008A14A3"/>
    <w:rsid w:val="008A6D68"/>
    <w:rsid w:val="008A7964"/>
    <w:rsid w:val="008C1E09"/>
    <w:rsid w:val="00914A0D"/>
    <w:rsid w:val="0092323D"/>
    <w:rsid w:val="00943E77"/>
    <w:rsid w:val="0097724E"/>
    <w:rsid w:val="009A67DB"/>
    <w:rsid w:val="009E3C35"/>
    <w:rsid w:val="00A270C3"/>
    <w:rsid w:val="00A91C20"/>
    <w:rsid w:val="00AA575B"/>
    <w:rsid w:val="00AD239E"/>
    <w:rsid w:val="00AD41B6"/>
    <w:rsid w:val="00AF5FF2"/>
    <w:rsid w:val="00B12CFF"/>
    <w:rsid w:val="00B142FE"/>
    <w:rsid w:val="00B1778C"/>
    <w:rsid w:val="00B6466F"/>
    <w:rsid w:val="00B655DB"/>
    <w:rsid w:val="00B74292"/>
    <w:rsid w:val="00BB22EE"/>
    <w:rsid w:val="00BF0F92"/>
    <w:rsid w:val="00BF5C9D"/>
    <w:rsid w:val="00C1559C"/>
    <w:rsid w:val="00C2287D"/>
    <w:rsid w:val="00C61A3E"/>
    <w:rsid w:val="00CC7A5C"/>
    <w:rsid w:val="00CE56D1"/>
    <w:rsid w:val="00CF30E9"/>
    <w:rsid w:val="00CF3820"/>
    <w:rsid w:val="00D052A8"/>
    <w:rsid w:val="00D321A9"/>
    <w:rsid w:val="00D347AD"/>
    <w:rsid w:val="00D348B5"/>
    <w:rsid w:val="00D43389"/>
    <w:rsid w:val="00D544C7"/>
    <w:rsid w:val="00D56B6F"/>
    <w:rsid w:val="00D8603E"/>
    <w:rsid w:val="00DC7181"/>
    <w:rsid w:val="00E0009D"/>
    <w:rsid w:val="00E0036D"/>
    <w:rsid w:val="00E32EE2"/>
    <w:rsid w:val="00E35C38"/>
    <w:rsid w:val="00E36E8D"/>
    <w:rsid w:val="00E43220"/>
    <w:rsid w:val="00E91D16"/>
    <w:rsid w:val="00E97876"/>
    <w:rsid w:val="00ED3FED"/>
    <w:rsid w:val="00F040F1"/>
    <w:rsid w:val="00F27C34"/>
    <w:rsid w:val="00F344B1"/>
    <w:rsid w:val="00F75084"/>
    <w:rsid w:val="00F95933"/>
    <w:rsid w:val="00FA76BA"/>
    <w:rsid w:val="00F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semiHidden/>
    <w:unhideWhenUsed/>
    <w:rsid w:val="00B74292"/>
    <w:pPr>
      <w:spacing w:line="360" w:lineRule="auto"/>
      <w:ind w:left="708"/>
      <w:jc w:val="both"/>
    </w:pPr>
    <w:rPr>
      <w:rFonts w:ascii="Arial" w:hAnsi="Arial" w:cs="Arial"/>
      <w:color w:val="000000"/>
      <w:szCs w:val="20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B74292"/>
    <w:rPr>
      <w:rFonts w:ascii="Arial" w:eastAsia="Times New Roman" w:hAnsi="Arial" w:cs="Arial"/>
      <w:color w:val="000000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B74292"/>
    <w:pPr>
      <w:ind w:left="708"/>
    </w:pPr>
  </w:style>
  <w:style w:type="paragraph" w:styleId="Ttulo">
    <w:name w:val="Title"/>
    <w:basedOn w:val="Normal"/>
    <w:link w:val="TtuloCar"/>
    <w:qFormat/>
    <w:rsid w:val="00943E77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3E77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A67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A67D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959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9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59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9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2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24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semiHidden/>
    <w:unhideWhenUsed/>
    <w:rsid w:val="00B74292"/>
    <w:pPr>
      <w:spacing w:line="360" w:lineRule="auto"/>
      <w:ind w:left="708"/>
      <w:jc w:val="both"/>
    </w:pPr>
    <w:rPr>
      <w:rFonts w:ascii="Arial" w:hAnsi="Arial" w:cs="Arial"/>
      <w:color w:val="000000"/>
      <w:szCs w:val="20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B74292"/>
    <w:rPr>
      <w:rFonts w:ascii="Arial" w:eastAsia="Times New Roman" w:hAnsi="Arial" w:cs="Arial"/>
      <w:color w:val="000000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B74292"/>
    <w:pPr>
      <w:ind w:left="708"/>
    </w:pPr>
  </w:style>
  <w:style w:type="paragraph" w:styleId="Ttulo">
    <w:name w:val="Title"/>
    <w:basedOn w:val="Normal"/>
    <w:link w:val="TtuloCar"/>
    <w:qFormat/>
    <w:rsid w:val="00943E77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3E77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A67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A67D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959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9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59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9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2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24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05FB2-A513-4BA8-A731-799ECA3B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3024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Miriam Cristina Rivero</cp:lastModifiedBy>
  <cp:revision>2</cp:revision>
  <cp:lastPrinted>2014-11-25T15:47:00Z</cp:lastPrinted>
  <dcterms:created xsi:type="dcterms:W3CDTF">2014-11-25T15:48:00Z</dcterms:created>
  <dcterms:modified xsi:type="dcterms:W3CDTF">2014-11-25T15:48:00Z</dcterms:modified>
</cp:coreProperties>
</file>