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4F" w:rsidRDefault="00FD6E4F">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FD6E4F" w:rsidRDefault="00FD6E4F">
      <w:pPr>
        <w:tabs>
          <w:tab w:val="left" w:pos="-720"/>
        </w:tabs>
        <w:suppressAutoHyphens/>
        <w:jc w:val="center"/>
        <w:rPr>
          <w:rFonts w:ascii="Helvetica" w:hAnsi="Helvetica"/>
          <w:b/>
          <w:lang w:val="es-ES_tradnl"/>
        </w:rPr>
      </w:pPr>
    </w:p>
    <w:p w:rsidR="00FD6E4F" w:rsidRDefault="00FD6E4F">
      <w:pPr>
        <w:tabs>
          <w:tab w:val="center" w:pos="4253"/>
        </w:tabs>
        <w:suppressAutoHyphens/>
        <w:jc w:val="center"/>
        <w:rPr>
          <w:rFonts w:ascii="Helvetica" w:hAnsi="Helvetica"/>
          <w:b/>
          <w:lang w:val="es-ES_tradnl"/>
        </w:rPr>
      </w:pPr>
      <w:r>
        <w:rPr>
          <w:rFonts w:ascii="Helvetica" w:hAnsi="Helvetica"/>
          <w:b/>
          <w:lang w:val="es-ES_tradnl"/>
        </w:rPr>
        <w:t>TRIBUNAL DE CUENTAS</w:t>
      </w:r>
    </w:p>
    <w:p w:rsidR="00FD6E4F" w:rsidRDefault="00FD6E4F">
      <w:pPr>
        <w:tabs>
          <w:tab w:val="left" w:pos="-720"/>
        </w:tabs>
        <w:suppressAutoHyphens/>
        <w:jc w:val="center"/>
        <w:rPr>
          <w:rFonts w:ascii="Helvetica" w:hAnsi="Helvetica"/>
          <w:b/>
          <w:lang w:val="es-ES_tradnl"/>
        </w:rPr>
      </w:pPr>
    </w:p>
    <w:p w:rsidR="00FD6E4F" w:rsidRDefault="00FD6E4F">
      <w:pPr>
        <w:tabs>
          <w:tab w:val="center" w:pos="4253"/>
        </w:tabs>
        <w:suppressAutoHyphens/>
        <w:jc w:val="center"/>
        <w:rPr>
          <w:rFonts w:ascii="Helvetica" w:hAnsi="Helvetica"/>
          <w:b/>
          <w:lang w:val="es-ES_tradnl"/>
        </w:rPr>
      </w:pPr>
      <w:r>
        <w:rPr>
          <w:rFonts w:ascii="Helvetica" w:hAnsi="Helvetica"/>
          <w:b/>
          <w:lang w:val="es-ES_tradnl"/>
        </w:rPr>
        <w:t>EN SESION DE FECHA 12 DE NOVIEMBRE DE 2014</w:t>
      </w:r>
    </w:p>
    <w:p w:rsidR="00FD6E4F" w:rsidRDefault="00FD6E4F">
      <w:pPr>
        <w:tabs>
          <w:tab w:val="center" w:pos="4253"/>
        </w:tabs>
        <w:suppressAutoHyphens/>
        <w:jc w:val="center"/>
        <w:rPr>
          <w:rFonts w:ascii="Helvetica" w:hAnsi="Helvetica"/>
          <w:b/>
          <w:lang w:val="es-ES_tradnl"/>
        </w:rPr>
      </w:pPr>
    </w:p>
    <w:p w:rsidR="00FD6E4F" w:rsidRPr="00181B20" w:rsidRDefault="00FD6E4F">
      <w:pPr>
        <w:tabs>
          <w:tab w:val="center" w:pos="4253"/>
        </w:tabs>
        <w:suppressAutoHyphens/>
        <w:jc w:val="center"/>
        <w:rPr>
          <w:rFonts w:ascii="Helvetica" w:hAnsi="Helvetica"/>
          <w:b/>
          <w:lang w:val="es-UY"/>
        </w:rPr>
      </w:pPr>
      <w:r w:rsidRPr="00181B20">
        <w:rPr>
          <w:rFonts w:ascii="Helvetica" w:hAnsi="Helvetica"/>
          <w:b/>
          <w:lang w:val="es-UY"/>
        </w:rPr>
        <w:t>(E. E. Nº</w:t>
      </w:r>
      <w:r w:rsidR="00A0272E">
        <w:rPr>
          <w:rFonts w:ascii="Helvetica" w:hAnsi="Helvetica"/>
          <w:b/>
          <w:lang w:val="es-UY"/>
        </w:rPr>
        <w:t xml:space="preserve"> </w:t>
      </w:r>
      <w:r w:rsidRPr="00181B20">
        <w:rPr>
          <w:rFonts w:ascii="Helvetica" w:hAnsi="Helvetica"/>
          <w:b/>
          <w:lang w:val="es-UY"/>
        </w:rPr>
        <w:t xml:space="preserve">2014-17-1-0005437, </w:t>
      </w:r>
      <w:proofErr w:type="spellStart"/>
      <w:r w:rsidRPr="00181B20">
        <w:rPr>
          <w:rFonts w:ascii="Helvetica" w:hAnsi="Helvetica"/>
          <w:b/>
          <w:lang w:val="es-UY"/>
        </w:rPr>
        <w:t>Ent</w:t>
      </w:r>
      <w:proofErr w:type="spellEnd"/>
      <w:r w:rsidRPr="00181B20">
        <w:rPr>
          <w:rFonts w:ascii="Helvetica" w:hAnsi="Helvetica"/>
          <w:b/>
          <w:lang w:val="es-UY"/>
        </w:rPr>
        <w:t>. N°</w:t>
      </w:r>
      <w:r w:rsidR="00A0272E">
        <w:rPr>
          <w:rFonts w:ascii="Helvetica" w:hAnsi="Helvetica"/>
          <w:b/>
          <w:lang w:val="es-UY"/>
        </w:rPr>
        <w:t xml:space="preserve"> </w:t>
      </w:r>
      <w:r w:rsidRPr="00181B20">
        <w:rPr>
          <w:rFonts w:ascii="Helvetica" w:hAnsi="Helvetica"/>
          <w:b/>
          <w:lang w:val="es-UY"/>
        </w:rPr>
        <w:t>4</w:t>
      </w:r>
      <w:r w:rsidR="002D099B" w:rsidRPr="00181B20">
        <w:rPr>
          <w:rFonts w:ascii="Helvetica" w:hAnsi="Helvetica"/>
          <w:b/>
          <w:lang w:val="es-UY"/>
        </w:rPr>
        <w:t>1</w:t>
      </w:r>
      <w:r w:rsidRPr="00181B20">
        <w:rPr>
          <w:rFonts w:ascii="Helvetica" w:hAnsi="Helvetica"/>
          <w:b/>
          <w:lang w:val="es-UY"/>
        </w:rPr>
        <w:t>80/14)</w:t>
      </w:r>
    </w:p>
    <w:p w:rsidR="00B03E01" w:rsidRDefault="00B03E01">
      <w:pPr>
        <w:spacing w:line="360" w:lineRule="auto"/>
        <w:jc w:val="both"/>
      </w:pPr>
    </w:p>
    <w:p w:rsidR="00B03E01" w:rsidRDefault="00B03E01" w:rsidP="00FD6E4F">
      <w:pPr>
        <w:spacing w:line="360" w:lineRule="auto"/>
        <w:ind w:firstLine="851"/>
        <w:jc w:val="both"/>
      </w:pPr>
      <w:r>
        <w:rPr>
          <w:b/>
          <w:bCs/>
        </w:rPr>
        <w:t>VISTO:</w:t>
      </w:r>
      <w:r>
        <w:t xml:space="preserve"> que este Tribunal ha examinado la Rendición de Cuentas y Balance de Ejecución Presupuestal de la Intendencia de Lavalleja correspondiente al ejercicio 2013;</w:t>
      </w:r>
    </w:p>
    <w:p w:rsidR="00B03E01" w:rsidRDefault="00B03E01" w:rsidP="00FD6E4F">
      <w:pPr>
        <w:spacing w:line="360" w:lineRule="auto"/>
        <w:ind w:firstLine="851"/>
        <w:jc w:val="both"/>
      </w:pPr>
      <w:r>
        <w:rPr>
          <w:b/>
          <w:bCs/>
        </w:rPr>
        <w:t xml:space="preserve">RESULTANDO: </w:t>
      </w:r>
      <w: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B03E01" w:rsidRDefault="00B03E01" w:rsidP="00FD6E4F">
      <w:pPr>
        <w:spacing w:line="360" w:lineRule="auto"/>
        <w:ind w:firstLine="851"/>
        <w:jc w:val="both"/>
      </w:pPr>
      <w:r>
        <w:rPr>
          <w:b/>
          <w:bCs/>
        </w:rPr>
        <w:t xml:space="preserve">CONSIDERANDO: </w:t>
      </w:r>
      <w:r>
        <w:t>que las conclusiones y evidencias obtenidas son las que se expresan en el Informe de Auditoría, que incluye Dictamen e Informe a la Administración;</w:t>
      </w:r>
    </w:p>
    <w:p w:rsidR="00B03E01" w:rsidRDefault="00B03E01" w:rsidP="00FD6E4F">
      <w:pPr>
        <w:spacing w:line="360" w:lineRule="auto"/>
        <w:ind w:firstLine="851"/>
        <w:jc w:val="both"/>
      </w:pPr>
      <w:r>
        <w:rPr>
          <w:b/>
          <w:bCs/>
        </w:rPr>
        <w:t xml:space="preserve">ATENTO: </w:t>
      </w:r>
      <w:r>
        <w:t xml:space="preserve">a lo dispuesto por el </w:t>
      </w:r>
      <w:r w:rsidR="00FD6E4F">
        <w:t>Artículo</w:t>
      </w:r>
      <w:r>
        <w:t xml:space="preserve"> 211 </w:t>
      </w:r>
      <w:r w:rsidR="00FD6E4F">
        <w:t>Literal</w:t>
      </w:r>
      <w:r>
        <w:t xml:space="preserve"> C) de la Constitución de la República;</w:t>
      </w:r>
    </w:p>
    <w:p w:rsidR="00B03E01" w:rsidRDefault="00B03E01">
      <w:pPr>
        <w:spacing w:line="360" w:lineRule="auto"/>
        <w:jc w:val="center"/>
        <w:rPr>
          <w:b/>
          <w:bCs/>
        </w:rPr>
      </w:pPr>
      <w:bookmarkStart w:id="1" w:name="_Toc75256577"/>
      <w:r>
        <w:rPr>
          <w:b/>
          <w:bCs/>
        </w:rPr>
        <w:t>EL TRIBUNAL ACUERDA</w:t>
      </w:r>
      <w:bookmarkEnd w:id="1"/>
    </w:p>
    <w:p w:rsidR="00B03E01" w:rsidRDefault="00FD6E4F" w:rsidP="00FD6E4F">
      <w:pPr>
        <w:spacing w:line="360" w:lineRule="auto"/>
        <w:jc w:val="both"/>
      </w:pPr>
      <w:r w:rsidRPr="00FD6E4F">
        <w:rPr>
          <w:b/>
        </w:rPr>
        <w:t>1)</w:t>
      </w:r>
      <w:r>
        <w:t xml:space="preserve"> </w:t>
      </w:r>
      <w:r w:rsidR="00B03E01">
        <w:t>Expedirse respecto de la Rendición de Cuentas y Balance de Ejecución Presupuestal de la Intendencia de Lavalleja correspondiente al ejercicio 2013, en los términos del Informe de Auditoría que se adjunta;</w:t>
      </w:r>
    </w:p>
    <w:p w:rsidR="00B03E01" w:rsidRDefault="00FD6E4F" w:rsidP="00FD6E4F">
      <w:pPr>
        <w:spacing w:line="360" w:lineRule="auto"/>
        <w:jc w:val="both"/>
      </w:pPr>
      <w:r w:rsidRPr="00FD6E4F">
        <w:rPr>
          <w:b/>
        </w:rPr>
        <w:t>2)</w:t>
      </w:r>
      <w:r>
        <w:t xml:space="preserve"> </w:t>
      </w:r>
      <w:r w:rsidR="00B03E01">
        <w:t xml:space="preserve">Comunicar la presente </w:t>
      </w:r>
      <w:r>
        <w:t>Resolución</w:t>
      </w:r>
      <w:r w:rsidR="00B03E01">
        <w:t xml:space="preserve"> a la Intendencia de Lavalleja y a la Contadora Delegada;</w:t>
      </w:r>
    </w:p>
    <w:p w:rsidR="00B03E01" w:rsidRDefault="00FD6E4F" w:rsidP="00FD6E4F">
      <w:pPr>
        <w:spacing w:line="360" w:lineRule="auto"/>
        <w:jc w:val="both"/>
      </w:pPr>
      <w:r w:rsidRPr="00FD6E4F">
        <w:rPr>
          <w:b/>
        </w:rPr>
        <w:t>3)</w:t>
      </w:r>
      <w:r>
        <w:t xml:space="preserve"> </w:t>
      </w:r>
      <w:r w:rsidR="00B03E01">
        <w:t>Dar cuenta a la Asamblea General; y</w:t>
      </w:r>
    </w:p>
    <w:p w:rsidR="00B03E01" w:rsidRDefault="00FD6E4F" w:rsidP="00FD6E4F">
      <w:pPr>
        <w:spacing w:line="360" w:lineRule="auto"/>
        <w:jc w:val="both"/>
      </w:pPr>
      <w:r w:rsidRPr="00FD6E4F">
        <w:rPr>
          <w:b/>
        </w:rPr>
        <w:t>4)</w:t>
      </w:r>
      <w:r>
        <w:t xml:space="preserve"> </w:t>
      </w:r>
      <w:r w:rsidR="00B03E01">
        <w:t>Devolver los antecedentes a la Junta Departamental de Lavalleja.</w:t>
      </w:r>
    </w:p>
    <w:p w:rsidR="00B03E01" w:rsidRDefault="00B03E01">
      <w:pPr>
        <w:spacing w:line="360" w:lineRule="auto"/>
        <w:jc w:val="both"/>
      </w:pPr>
    </w:p>
    <w:p w:rsidR="00A0272E" w:rsidRDefault="00A0272E">
      <w:pPr>
        <w:spacing w:line="360" w:lineRule="auto"/>
        <w:jc w:val="both"/>
      </w:pPr>
    </w:p>
    <w:p w:rsidR="00181B20" w:rsidRDefault="00181B20">
      <w:pPr>
        <w:pStyle w:val="Ttulo1"/>
      </w:pPr>
      <w:bookmarkStart w:id="2" w:name="_Toc307325640"/>
      <w:r>
        <w:lastRenderedPageBreak/>
        <w:t>DICTAMEN</w:t>
      </w:r>
      <w:bookmarkEnd w:id="2"/>
    </w:p>
    <w:p w:rsidR="00181B20" w:rsidRDefault="00181B20"/>
    <w:p w:rsidR="00181B20" w:rsidRDefault="00181B20">
      <w:pPr>
        <w:pStyle w:val="Subttulo"/>
        <w:rPr>
          <w:rFonts w:ascii="Arial" w:hAnsi="Arial" w:cs="Arial"/>
          <w:b w:val="0"/>
        </w:rPr>
      </w:pPr>
      <w:r>
        <w:rPr>
          <w:rFonts w:ascii="Arial" w:hAnsi="Arial" w:cs="Arial"/>
          <w:b w:val="0"/>
        </w:rPr>
        <w:t>El Tribunal de Cuentas ha examinado la Rendición de Cuentas y el Balance de Ejecución Presupuestal de la Intendencia de Lavalleja correspondiente al Ejercicio 2013, que incluye los siguientes estados: de Ejecución Presupuestal con relación a los Recursos y a los Créditos, Resultado del Ejercicio, Resultado Acumulado y</w:t>
      </w:r>
      <w:r w:rsidR="00A0272E">
        <w:rPr>
          <w:rFonts w:ascii="Arial" w:hAnsi="Arial" w:cs="Arial"/>
          <w:b w:val="0"/>
        </w:rPr>
        <w:t xml:space="preserve"> otros estados complementarios.</w:t>
      </w:r>
    </w:p>
    <w:p w:rsidR="00181B20" w:rsidRDefault="00181B20">
      <w:pPr>
        <w:pStyle w:val="Subttulo"/>
        <w:rPr>
          <w:rFonts w:ascii="Arial" w:hAnsi="Arial" w:cs="Arial"/>
          <w:b w:val="0"/>
        </w:rPr>
      </w:pPr>
      <w:r>
        <w:rPr>
          <w:rFonts w:ascii="Arial" w:hAnsi="Arial" w:cs="Arial"/>
          <w:b w:val="0"/>
        </w:rPr>
        <w:t>También se presentan los incumplimientos legales constatados por el Tribunal de Cuentas en el cu</w:t>
      </w:r>
      <w:r w:rsidR="00A0272E">
        <w:rPr>
          <w:rFonts w:ascii="Arial" w:hAnsi="Arial" w:cs="Arial"/>
          <w:b w:val="0"/>
        </w:rPr>
        <w:t>rso de la auditoría efectuada.</w:t>
      </w:r>
    </w:p>
    <w:p w:rsidR="00181B20" w:rsidRDefault="00181B20">
      <w:pPr>
        <w:pStyle w:val="Subttulo"/>
        <w:rPr>
          <w:rFonts w:ascii="Arial" w:hAnsi="Arial"/>
          <w:b w:val="0"/>
        </w:rPr>
      </w:pPr>
    </w:p>
    <w:p w:rsidR="00181B20" w:rsidRDefault="00181B20">
      <w:pPr>
        <w:pStyle w:val="Subttulo"/>
        <w:rPr>
          <w:rFonts w:ascii="Arial" w:hAnsi="Arial"/>
        </w:rPr>
      </w:pPr>
      <w:r>
        <w:rPr>
          <w:rFonts w:ascii="Arial" w:hAnsi="Arial"/>
        </w:rPr>
        <w:t>Responsabilidad de la Intendencia</w:t>
      </w:r>
    </w:p>
    <w:p w:rsidR="00181B20" w:rsidRDefault="00181B20">
      <w:pPr>
        <w:pStyle w:val="Subttulo"/>
        <w:rPr>
          <w:rFonts w:ascii="Arial" w:hAnsi="Arial" w:cs="Arial"/>
          <w:b w:val="0"/>
        </w:rPr>
      </w:pPr>
      <w:r>
        <w:rPr>
          <w:rFonts w:ascii="Arial" w:hAnsi="Arial" w:cs="Arial"/>
          <w:b w:val="0"/>
        </w:rPr>
        <w:t>La Intendencia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181B20" w:rsidRDefault="00181B20">
      <w:pPr>
        <w:pStyle w:val="Subttulo"/>
        <w:rPr>
          <w:rFonts w:ascii="Arial" w:hAnsi="Arial"/>
          <w:b w:val="0"/>
        </w:rPr>
      </w:pPr>
    </w:p>
    <w:p w:rsidR="00181B20" w:rsidRDefault="00181B20">
      <w:pPr>
        <w:pStyle w:val="Subttulo"/>
        <w:rPr>
          <w:rFonts w:ascii="Arial" w:hAnsi="Arial"/>
        </w:rPr>
      </w:pPr>
      <w:r>
        <w:rPr>
          <w:rFonts w:ascii="Arial" w:hAnsi="Arial"/>
        </w:rPr>
        <w:t>Responsabilidad del auditor</w:t>
      </w:r>
    </w:p>
    <w:p w:rsidR="00181B20" w:rsidRDefault="00181B20">
      <w:pPr>
        <w:pStyle w:val="Subttulo"/>
        <w:rPr>
          <w:rFonts w:ascii="Arial" w:hAnsi="Arial"/>
          <w:b w:val="0"/>
        </w:rPr>
      </w:pPr>
      <w:r>
        <w:rPr>
          <w:rFonts w:ascii="Arial" w:hAnsi="Arial"/>
          <w:b w:val="0"/>
        </w:rPr>
        <w:t xml:space="preserve"> 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auditoria para obtener seguridad razonable acerca de si los estados contables están li</w:t>
      </w:r>
      <w:r w:rsidR="00A0272E">
        <w:rPr>
          <w:rFonts w:ascii="Arial" w:hAnsi="Arial"/>
          <w:b w:val="0"/>
        </w:rPr>
        <w:t>bres de errores significativos.</w:t>
      </w:r>
    </w:p>
    <w:p w:rsidR="00181B20" w:rsidRDefault="00181B20">
      <w:pPr>
        <w:pStyle w:val="Subttulo"/>
        <w:rPr>
          <w:rFonts w:ascii="Arial" w:hAnsi="Arial"/>
          <w:b w:val="0"/>
        </w:rPr>
      </w:pPr>
    </w:p>
    <w:p w:rsidR="00181B20" w:rsidRDefault="00181B20">
      <w:pPr>
        <w:pStyle w:val="Subttulo"/>
        <w:rPr>
          <w:rFonts w:ascii="Arial" w:hAnsi="Arial"/>
          <w:b w:val="0"/>
        </w:rPr>
      </w:pPr>
      <w:r>
        <w:rPr>
          <w:rFonts w:ascii="Arial" w:hAnsi="Arial"/>
          <w:b w:val="0"/>
        </w:rPr>
        <w:t>Una auditoria implica realizar procedimientos para obtener evidencia acerca de los montos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181B20" w:rsidRDefault="00181B20">
      <w:pPr>
        <w:pStyle w:val="Subttulo"/>
        <w:rPr>
          <w:rFonts w:ascii="Arial" w:hAnsi="Arial"/>
          <w:b w:val="0"/>
        </w:rPr>
      </w:pPr>
      <w:r>
        <w:rPr>
          <w:rFonts w:ascii="Arial" w:hAnsi="Arial"/>
          <w:b w:val="0"/>
        </w:rPr>
        <w:t>Se considera que la evidencia de auditoría obtenida brinda una base suficiente y apropiada para sustentar la opinión.</w:t>
      </w:r>
    </w:p>
    <w:p w:rsidR="00181B20" w:rsidRDefault="00181B20">
      <w:pPr>
        <w:pStyle w:val="Subttulo"/>
        <w:rPr>
          <w:rFonts w:ascii="Arial" w:hAnsi="Arial"/>
          <w:b w:val="0"/>
        </w:rPr>
      </w:pPr>
      <w:r>
        <w:rPr>
          <w:rFonts w:ascii="Arial" w:hAnsi="Arial"/>
          <w:b w:val="0"/>
        </w:rPr>
        <w:tab/>
      </w:r>
    </w:p>
    <w:p w:rsidR="00181B20" w:rsidRDefault="00181B20">
      <w:pPr>
        <w:pStyle w:val="Textoindependiente"/>
        <w:rPr>
          <w:b/>
        </w:rPr>
      </w:pPr>
      <w:r>
        <w:rPr>
          <w:b/>
        </w:rPr>
        <w:t>Opinión</w:t>
      </w:r>
    </w:p>
    <w:p w:rsidR="00181B20" w:rsidRDefault="00181B20">
      <w:pPr>
        <w:pStyle w:val="Textoindependiente"/>
        <w:spacing w:after="0" w:line="360" w:lineRule="auto"/>
      </w:pPr>
      <w:r>
        <w:t>En opinión del Tribunal de Cuentas, los estados mencionados presentan razonablemente, en todos sus aspectos importantes, la ejecución presupuestal en relación a los recursos y a los créditos presupuestales, el resultado del Ejercicio 2013 y el resultado acumu</w:t>
      </w:r>
      <w:r>
        <w:softHyphen/>
        <w:t>lado al 31 de diciembre de 2013, de acuerdo a las normas establecidas en el TOCAF y a la Resolución de</w:t>
      </w:r>
      <w:r w:rsidR="00A0272E">
        <w:t xml:space="preserve"> este Cuerpo de fecha 28/01/04.</w:t>
      </w:r>
    </w:p>
    <w:p w:rsidR="00181B20" w:rsidRDefault="00181B20">
      <w:pPr>
        <w:pStyle w:val="Textoindependiente"/>
        <w:spacing w:after="0" w:line="360" w:lineRule="auto"/>
        <w:rPr>
          <w:kern w:val="0"/>
          <w:lang w:val="es-ES"/>
        </w:rPr>
      </w:pPr>
      <w:r>
        <w:rPr>
          <w:kern w:val="0"/>
          <w:lang w:val="es-ES"/>
        </w:rPr>
        <w:t>Con relación al cumplimiento de la normativa vigente, en el curso de la a</w:t>
      </w:r>
      <w:r w:rsidR="00A0272E">
        <w:rPr>
          <w:kern w:val="0"/>
          <w:lang w:val="es-ES"/>
        </w:rPr>
        <w:t>uditoría se ha constatado que:</w:t>
      </w:r>
    </w:p>
    <w:p w:rsidR="00181B20" w:rsidRDefault="00181B20">
      <w:pPr>
        <w:pStyle w:val="Textoindependiente"/>
        <w:spacing w:line="360" w:lineRule="auto"/>
        <w:rPr>
          <w:lang w:val="es-ES"/>
        </w:rPr>
      </w:pPr>
    </w:p>
    <w:p w:rsidR="00181B20" w:rsidRDefault="00181B20" w:rsidP="00181B20">
      <w:pPr>
        <w:pStyle w:val="Textoindependiente"/>
        <w:numPr>
          <w:ilvl w:val="0"/>
          <w:numId w:val="2"/>
        </w:numPr>
        <w:autoSpaceDE w:val="0"/>
        <w:autoSpaceDN w:val="0"/>
        <w:adjustRightInd w:val="0"/>
        <w:spacing w:after="0" w:line="360" w:lineRule="auto"/>
      </w:pPr>
      <w:r>
        <w:rPr>
          <w:b/>
        </w:rPr>
        <w:t>Artículo 86 de la Constitución de la República:</w:t>
      </w:r>
      <w:r>
        <w:t xml:space="preserve"> Se contrataron funcionarios sin que existieran los cargos respectivos y se pagaron compensaciones salariales sin que estuvieran previstas en el presupuesto. Asimismo, los aumentos salariales otorgados en el Ejercicio fueron superiores a los aprobados en la norma presupuestal.</w:t>
      </w:r>
    </w:p>
    <w:p w:rsidR="00181B20" w:rsidRDefault="00181B20" w:rsidP="00181B20">
      <w:pPr>
        <w:pStyle w:val="Textoindependiente"/>
        <w:numPr>
          <w:ilvl w:val="0"/>
          <w:numId w:val="2"/>
        </w:numPr>
        <w:autoSpaceDE w:val="0"/>
        <w:autoSpaceDN w:val="0"/>
        <w:adjustRightInd w:val="0"/>
        <w:spacing w:after="0" w:line="360" w:lineRule="auto"/>
      </w:pPr>
      <w:r>
        <w:rPr>
          <w:b/>
        </w:rPr>
        <w:t>Artículo 211 Literal B) de la Constitución de la República y Ordenanza</w:t>
      </w:r>
      <w:r>
        <w:t xml:space="preserve"> </w:t>
      </w:r>
      <w:r>
        <w:rPr>
          <w:b/>
        </w:rPr>
        <w:t>N° 72 del Tribunal de Cuentas:</w:t>
      </w:r>
      <w:r>
        <w:t xml:space="preserve"> No fue intervenida preventivamente por este Tribunal, la contratación de servicios profesionales por parte de la Junta Departamental.</w:t>
      </w:r>
    </w:p>
    <w:p w:rsidR="00181B20" w:rsidRDefault="00181B20" w:rsidP="00181B20">
      <w:pPr>
        <w:pStyle w:val="Textoindependiente"/>
        <w:numPr>
          <w:ilvl w:val="0"/>
          <w:numId w:val="2"/>
        </w:numPr>
        <w:autoSpaceDE w:val="0"/>
        <w:autoSpaceDN w:val="0"/>
        <w:adjustRightInd w:val="0"/>
        <w:spacing w:after="0" w:line="360" w:lineRule="auto"/>
      </w:pPr>
      <w:r>
        <w:rPr>
          <w:b/>
        </w:rPr>
        <w:t>Artículo 297 Numeral 1º) de la Constitución de la República:</w:t>
      </w:r>
      <w:r>
        <w:t xml:space="preserve"> Durante el Ejercicio 2013 se efectuaron bonificaciones en el tributo de Contribución Inmobiliaria Rural. Tal situación contraviene esta normativa constitucional dado que dicha facultad es competencia del Poder Legislativo.</w:t>
      </w:r>
    </w:p>
    <w:p w:rsidR="00181B20" w:rsidRDefault="00181B20" w:rsidP="00181B20">
      <w:pPr>
        <w:pStyle w:val="Textoindependiente"/>
        <w:numPr>
          <w:ilvl w:val="0"/>
          <w:numId w:val="2"/>
        </w:numPr>
        <w:autoSpaceDE w:val="0"/>
        <w:autoSpaceDN w:val="0"/>
        <w:adjustRightInd w:val="0"/>
        <w:spacing w:after="0" w:line="360" w:lineRule="auto"/>
      </w:pPr>
      <w:r>
        <w:rPr>
          <w:b/>
        </w:rPr>
        <w:t>Artículos 4, 5 y 11 del TOCAF:</w:t>
      </w:r>
      <w:r>
        <w:t xml:space="preserve"> Se ha contravenido lo dispuesto por estas normas al no depositarse la totalidad de la recaudación de la Tesorería de la Intendencia, de las Juntas Locales y de los Campings, y rea</w:t>
      </w:r>
      <w:r w:rsidR="00A0272E">
        <w:t>lizar pagos con dichos fondos.</w:t>
      </w:r>
    </w:p>
    <w:p w:rsidR="00181B20" w:rsidRDefault="00181B20" w:rsidP="00181B20">
      <w:pPr>
        <w:pStyle w:val="Textoindependiente"/>
        <w:numPr>
          <w:ilvl w:val="0"/>
          <w:numId w:val="2"/>
        </w:numPr>
        <w:autoSpaceDE w:val="0"/>
        <w:autoSpaceDN w:val="0"/>
        <w:adjustRightInd w:val="0"/>
        <w:spacing w:after="0" w:line="360" w:lineRule="auto"/>
      </w:pPr>
      <w:r>
        <w:rPr>
          <w:b/>
        </w:rPr>
        <w:t>Artículo 14 del TOCAF:</w:t>
      </w:r>
      <w:r>
        <w:t xml:space="preserve"> Se ejecutaron gastos que no fueron ordenados por autoridad competente, habiendo sido observados por la Cont</w:t>
      </w:r>
      <w:r w:rsidR="00A0272E">
        <w:t>adora Delegada.</w:t>
      </w:r>
    </w:p>
    <w:p w:rsidR="00181B20" w:rsidRDefault="00181B20" w:rsidP="00181B20">
      <w:pPr>
        <w:pStyle w:val="Textoindependiente"/>
        <w:numPr>
          <w:ilvl w:val="0"/>
          <w:numId w:val="2"/>
        </w:numPr>
        <w:autoSpaceDE w:val="0"/>
        <w:autoSpaceDN w:val="0"/>
        <w:adjustRightInd w:val="0"/>
        <w:spacing w:after="0" w:line="360" w:lineRule="auto"/>
      </w:pPr>
      <w:r>
        <w:rPr>
          <w:b/>
        </w:rPr>
        <w:t>Artículo 16 del TOCAF:</w:t>
      </w:r>
      <w:r>
        <w:t xml:space="preserve"> Se realizaron imputaciones de gastos a objetos distintos a</w:t>
      </w:r>
      <w:r w:rsidR="00A0272E">
        <w:t xml:space="preserve"> los que hubiera correspondido.</w:t>
      </w:r>
    </w:p>
    <w:p w:rsidR="00181B20" w:rsidRDefault="00181B20" w:rsidP="00181B20">
      <w:pPr>
        <w:pStyle w:val="Textoindependiente"/>
        <w:numPr>
          <w:ilvl w:val="0"/>
          <w:numId w:val="2"/>
        </w:numPr>
        <w:autoSpaceDE w:val="0"/>
        <w:autoSpaceDN w:val="0"/>
        <w:adjustRightInd w:val="0"/>
        <w:spacing w:after="0" w:line="360" w:lineRule="auto"/>
      </w:pPr>
      <w:r>
        <w:rPr>
          <w:b/>
        </w:rPr>
        <w:t>Artículo 43 del TOCAF:</w:t>
      </w:r>
      <w:r>
        <w:t xml:space="preserve"> No se dio cumplimiento en todos los casos a esta norma, al efectuarse adquisiciones de artículos y contrataciones de servicios en forma fraccionada, sin dejar constancia de sus fundamentos. Asimismo no se tuvieron en cuenta las necesidades previstas para todo el Ejercicio de suministros y servicios, omitiéndose la aplicación de los procedimientos de contratación que hubieran correspondido de acuerdo al monto.</w:t>
      </w:r>
    </w:p>
    <w:p w:rsidR="00181B20" w:rsidRDefault="00181B20" w:rsidP="00181B20">
      <w:pPr>
        <w:numPr>
          <w:ilvl w:val="0"/>
          <w:numId w:val="2"/>
        </w:numPr>
        <w:spacing w:line="360" w:lineRule="auto"/>
        <w:jc w:val="both"/>
        <w:rPr>
          <w:color w:val="000000"/>
        </w:rPr>
      </w:pPr>
      <w:r>
        <w:rPr>
          <w:b/>
          <w:kern w:val="18"/>
          <w:szCs w:val="20"/>
        </w:rPr>
        <w:t>Artículo 48 del TOCAF:</w:t>
      </w:r>
      <w:r>
        <w:rPr>
          <w:kern w:val="18"/>
          <w:szCs w:val="20"/>
        </w:rPr>
        <w:t xml:space="preserve"> Los pliegos de condiciones particulares de las licitaciones no establecieron los factores que se tendrían en cuenta para</w:t>
      </w:r>
      <w:r>
        <w:rPr>
          <w:snapToGrid w:val="0"/>
        </w:rPr>
        <w:t xml:space="preserve"> evaluar las ofertas, ni la ponderación para cada uno de ellos a efectos de otorgar la calificación correspondiente. </w:t>
      </w:r>
      <w:r>
        <w:rPr>
          <w:color w:val="000000"/>
          <w:shd w:val="clear" w:color="auto" w:fill="FFFFFF"/>
        </w:rPr>
        <w:t>Asimismo, en algunos casos la Intendencia adjudicó compras a oferentes que establecieron plazos de entrega superiores a los fijados en los respectivos pliegos de condiciones.</w:t>
      </w:r>
    </w:p>
    <w:p w:rsidR="00181B20" w:rsidRDefault="00181B20" w:rsidP="00181B20">
      <w:pPr>
        <w:numPr>
          <w:ilvl w:val="0"/>
          <w:numId w:val="2"/>
        </w:numPr>
        <w:spacing w:line="360" w:lineRule="auto"/>
        <w:jc w:val="both"/>
        <w:rPr>
          <w:color w:val="000000"/>
        </w:rPr>
      </w:pPr>
      <w:r>
        <w:rPr>
          <w:b/>
          <w:snapToGrid w:val="0"/>
        </w:rPr>
        <w:t xml:space="preserve">Artículo 50 del TOCAF: </w:t>
      </w:r>
      <w:r>
        <w:rPr>
          <w:snapToGrid w:val="0"/>
        </w:rPr>
        <w:t xml:space="preserve">No se realizó la publicación en el sitio Web de Compras y Contrataciones Estatales de </w:t>
      </w:r>
      <w:r>
        <w:t>la licitación abreviada N° 21/2013 para la climatización de piscinas del Parque Rodó, incumpliendo lo establecido en esta norma</w:t>
      </w:r>
      <w:r w:rsidR="00A0272E">
        <w:rPr>
          <w:snapToGrid w:val="0"/>
        </w:rPr>
        <w:t>.</w:t>
      </w:r>
    </w:p>
    <w:p w:rsidR="00181B20" w:rsidRDefault="00181B20" w:rsidP="00181B20">
      <w:pPr>
        <w:pStyle w:val="Textoindependiente"/>
        <w:numPr>
          <w:ilvl w:val="0"/>
          <w:numId w:val="2"/>
        </w:numPr>
        <w:autoSpaceDE w:val="0"/>
        <w:autoSpaceDN w:val="0"/>
        <w:adjustRightInd w:val="0"/>
        <w:spacing w:after="0" w:line="360" w:lineRule="auto"/>
      </w:pPr>
      <w:r>
        <w:rPr>
          <w:b/>
          <w:snapToGrid w:val="0"/>
        </w:rPr>
        <w:t>Artículo 64 del TOCAF:</w:t>
      </w:r>
      <w:r>
        <w:rPr>
          <w:snapToGrid w:val="0"/>
        </w:rPr>
        <w:t xml:space="preserve"> No se efectuaron las retenciones establecidas en los pliegos de condiciones particulares a efectos de reforzar garantías de cumplimiento de contratos.</w:t>
      </w:r>
    </w:p>
    <w:p w:rsidR="00181B20" w:rsidRDefault="00181B20" w:rsidP="00181B20">
      <w:pPr>
        <w:numPr>
          <w:ilvl w:val="0"/>
          <w:numId w:val="2"/>
        </w:numPr>
        <w:spacing w:line="360" w:lineRule="auto"/>
        <w:jc w:val="both"/>
        <w:rPr>
          <w:color w:val="000000"/>
        </w:rPr>
      </w:pPr>
      <w:r>
        <w:rPr>
          <w:b/>
          <w:snapToGrid w:val="0"/>
        </w:rPr>
        <w:t xml:space="preserve">Artículo 66 del TOCAF: </w:t>
      </w:r>
      <w:r>
        <w:rPr>
          <w:snapToGrid w:val="0"/>
        </w:rPr>
        <w:t>Al hacer uso de las facultades establecidas en esta norma a efectos de obtener mejoras en los precios ofertados, no se  invitó a los oferentes cuyas cotizaciones fueron las de menor precio, en la licitación abreviada N° 25/2013 para la adquisición de un cargador frontal. Asimismo, el plazo otorgado para presentar las ofertas mejoradas fue inferior al mínimo establecido en la norma.</w:t>
      </w:r>
    </w:p>
    <w:p w:rsidR="00181B20" w:rsidRDefault="00181B20" w:rsidP="00181B20">
      <w:pPr>
        <w:pStyle w:val="Textoindependiente"/>
        <w:numPr>
          <w:ilvl w:val="0"/>
          <w:numId w:val="2"/>
        </w:numPr>
        <w:autoSpaceDE w:val="0"/>
        <w:autoSpaceDN w:val="0"/>
        <w:adjustRightInd w:val="0"/>
        <w:spacing w:after="0" w:line="360" w:lineRule="auto"/>
      </w:pPr>
      <w:r>
        <w:rPr>
          <w:b/>
        </w:rPr>
        <w:t>Artículos 84 y 97 del TOCAF:</w:t>
      </w:r>
      <w:r>
        <w:t xml:space="preserve"> No se mantiene un inventario de bienes actualizado y debidamente valuado. En el sistema contable se registran solamente los bienes muebles, tierras y edificios y vías de comunicación adquiridos a </w:t>
      </w:r>
      <w:r w:rsidR="00A0272E">
        <w:t>partir del Ejercicio 2002.</w:t>
      </w:r>
    </w:p>
    <w:p w:rsidR="00181B20" w:rsidRDefault="00181B20" w:rsidP="00181B20">
      <w:pPr>
        <w:pStyle w:val="Textoindependiente"/>
        <w:numPr>
          <w:ilvl w:val="0"/>
          <w:numId w:val="2"/>
        </w:numPr>
        <w:autoSpaceDE w:val="0"/>
        <w:autoSpaceDN w:val="0"/>
        <w:adjustRightInd w:val="0"/>
        <w:spacing w:after="0" w:line="360" w:lineRule="auto"/>
      </w:pPr>
      <w:r>
        <w:rPr>
          <w:b/>
        </w:rPr>
        <w:t xml:space="preserve">Artículo 94 del TOCAF y Ordenanza Nº 81 del Tribunal de Cuentas: </w:t>
      </w:r>
      <w:r>
        <w:t>No se ha implementado en la Intendencia un sistema de contabilidad patrimonial que permita cumplir con lo establecido en estas normas.</w:t>
      </w:r>
    </w:p>
    <w:p w:rsidR="00181B20" w:rsidRDefault="00181B20" w:rsidP="00181B20">
      <w:pPr>
        <w:pStyle w:val="Textoindependiente"/>
        <w:numPr>
          <w:ilvl w:val="0"/>
          <w:numId w:val="2"/>
        </w:numPr>
        <w:autoSpaceDE w:val="0"/>
        <w:autoSpaceDN w:val="0"/>
        <w:adjustRightInd w:val="0"/>
        <w:spacing w:after="0" w:line="360" w:lineRule="auto"/>
      </w:pPr>
      <w:r>
        <w:rPr>
          <w:b/>
        </w:rPr>
        <w:t xml:space="preserve">Artículo 111 Numeral 6) del TOCAF: </w:t>
      </w:r>
      <w:r>
        <w:t>No se ha dado cumplimiento a lo establecido en esta norma debido a que la Unidad de Auditoría Interna de la Intendencia no proporcionó la planificación de sus trabajos de auditoría, ni los informes producidos en el Ejercicio 2013.</w:t>
      </w:r>
    </w:p>
    <w:p w:rsidR="00181B20" w:rsidRDefault="00181B20" w:rsidP="00181B20">
      <w:pPr>
        <w:pStyle w:val="Textoindependiente"/>
        <w:numPr>
          <w:ilvl w:val="0"/>
          <w:numId w:val="2"/>
        </w:numPr>
        <w:autoSpaceDE w:val="0"/>
        <w:autoSpaceDN w:val="0"/>
        <w:adjustRightInd w:val="0"/>
        <w:spacing w:after="0" w:line="360" w:lineRule="auto"/>
      </w:pPr>
      <w:r>
        <w:rPr>
          <w:b/>
        </w:rPr>
        <w:t xml:space="preserve">Artículo 118 del TOCAF, Decreto 388/92 y Resolución 688/92 de la DGI: </w:t>
      </w:r>
      <w:r>
        <w:t>Se realizaron adquisiciones de materiales de construcción sin exigir documentación de respaldo. Estas situaciones fueron observadas por la Contadora Delegada.</w:t>
      </w:r>
    </w:p>
    <w:p w:rsidR="00181B20" w:rsidRDefault="00181B20" w:rsidP="00181B20">
      <w:pPr>
        <w:pStyle w:val="Textoindependiente"/>
        <w:numPr>
          <w:ilvl w:val="0"/>
          <w:numId w:val="2"/>
        </w:numPr>
        <w:autoSpaceDE w:val="0"/>
        <w:autoSpaceDN w:val="0"/>
        <w:adjustRightInd w:val="0"/>
        <w:spacing w:after="0" w:line="360" w:lineRule="auto"/>
      </w:pPr>
      <w:r>
        <w:rPr>
          <w:b/>
        </w:rPr>
        <w:t xml:space="preserve">Artículo 128 del TOCAF: </w:t>
      </w:r>
      <w:r>
        <w:t>El estado demostrativo del grado de cumplimiento de los objetivos y metas programadas no indica los previstos y alcanzados y el costo resultante.</w:t>
      </w:r>
    </w:p>
    <w:p w:rsidR="00181B20" w:rsidRDefault="00181B20" w:rsidP="00181B20">
      <w:pPr>
        <w:pStyle w:val="Textoindependiente"/>
        <w:numPr>
          <w:ilvl w:val="0"/>
          <w:numId w:val="2"/>
        </w:numPr>
        <w:autoSpaceDE w:val="0"/>
        <w:autoSpaceDN w:val="0"/>
        <w:adjustRightInd w:val="0"/>
        <w:spacing w:after="0" w:line="360" w:lineRule="auto"/>
      </w:pPr>
      <w:r>
        <w:rPr>
          <w:b/>
        </w:rPr>
        <w:t xml:space="preserve">Artículo 132 del TOCAF y Ordenanza N° 77 del Tribunal de Cuentas: </w:t>
      </w:r>
      <w:r>
        <w:t xml:space="preserve">Existen fondos, otorgados a funcionarios de la Intendencia, pendientes de rendición, con una antigüedad superior a la establecida en estas normas. Asimismo, algunas de las transferencias realizadas por el Ministerio de Economía a la Intendencia también </w:t>
      </w:r>
      <w:r w:rsidR="003C041C">
        <w:t>fueron rendidas fuera de plazo.</w:t>
      </w:r>
    </w:p>
    <w:p w:rsidR="00181B20" w:rsidRDefault="00181B20" w:rsidP="00181B20">
      <w:pPr>
        <w:pStyle w:val="Textoindependiente"/>
        <w:numPr>
          <w:ilvl w:val="0"/>
          <w:numId w:val="2"/>
        </w:numPr>
        <w:autoSpaceDE w:val="0"/>
        <w:autoSpaceDN w:val="0"/>
        <w:adjustRightInd w:val="0"/>
        <w:spacing w:after="0" w:line="360" w:lineRule="auto"/>
      </w:pPr>
      <w:r>
        <w:rPr>
          <w:b/>
        </w:rPr>
        <w:t xml:space="preserve">Artículos 90 y 154 del TOCAF: </w:t>
      </w:r>
      <w:r>
        <w:t>La Administración no cuenta con seguros de caución de fidelidad por la totalidad de los funcionarios que manejan o custodian fondos o valores.</w:t>
      </w:r>
    </w:p>
    <w:p w:rsidR="00181B20" w:rsidRDefault="00181B20" w:rsidP="00181B20">
      <w:pPr>
        <w:pStyle w:val="Textoindependiente"/>
        <w:numPr>
          <w:ilvl w:val="0"/>
          <w:numId w:val="2"/>
        </w:numPr>
        <w:autoSpaceDE w:val="0"/>
        <w:autoSpaceDN w:val="0"/>
        <w:adjustRightInd w:val="0"/>
        <w:spacing w:after="0" w:line="360" w:lineRule="auto"/>
      </w:pPr>
      <w:r>
        <w:rPr>
          <w:b/>
        </w:rPr>
        <w:t>Convenio N° 30 de la Organización Internacional del Trabajo:</w:t>
      </w:r>
      <w:r>
        <w:t xml:space="preserve"> Las</w:t>
      </w:r>
      <w:r>
        <w:rPr>
          <w:shd w:val="clear" w:color="auto" w:fill="92D050"/>
        </w:rPr>
        <w:t xml:space="preserve"> </w:t>
      </w:r>
      <w:r>
        <w:t>liquidaciones de horas extras realizadas durante el Ejercicio 2013</w:t>
      </w:r>
      <w:r>
        <w:rPr>
          <w:shd w:val="clear" w:color="auto" w:fill="92D050"/>
        </w:rPr>
        <w:t xml:space="preserve"> </w:t>
      </w:r>
      <w:r>
        <w:t>superaron, en algunos casos, los topes establecidos en este Convenio.</w:t>
      </w:r>
      <w:r>
        <w:rPr>
          <w:shd w:val="clear" w:color="auto" w:fill="92D050"/>
        </w:rPr>
        <w:t xml:space="preserve"> </w:t>
      </w:r>
      <w:r>
        <w:t>Tales situaciones fueron observadas por la Contadora Delegada.</w:t>
      </w:r>
    </w:p>
    <w:p w:rsidR="00181B20" w:rsidRDefault="00181B20" w:rsidP="00181B20">
      <w:pPr>
        <w:pStyle w:val="Textoindependiente"/>
        <w:numPr>
          <w:ilvl w:val="0"/>
          <w:numId w:val="2"/>
        </w:numPr>
        <w:autoSpaceDE w:val="0"/>
        <w:autoSpaceDN w:val="0"/>
        <w:adjustRightInd w:val="0"/>
        <w:spacing w:after="0" w:line="360" w:lineRule="auto"/>
      </w:pPr>
      <w:r>
        <w:rPr>
          <w:b/>
        </w:rPr>
        <w:t xml:space="preserve">Artículo 35 de la Ley 9.515: </w:t>
      </w:r>
      <w:r>
        <w:t>Se celebraron convenios con funcionarios y jubilados a efectos de financiar deudas mantenidas con la Intendencia</w:t>
      </w:r>
      <w:r>
        <w:rPr>
          <w:b/>
        </w:rPr>
        <w:t xml:space="preserve"> </w:t>
      </w:r>
      <w:r>
        <w:t>por el pago de cuotas correspondientes al Fondo de Asistencia Médica.</w:t>
      </w:r>
    </w:p>
    <w:p w:rsidR="00181B20" w:rsidRDefault="00181B20" w:rsidP="00181B20">
      <w:pPr>
        <w:pStyle w:val="Textoindependiente"/>
        <w:numPr>
          <w:ilvl w:val="0"/>
          <w:numId w:val="2"/>
        </w:numPr>
        <w:autoSpaceDE w:val="0"/>
        <w:autoSpaceDN w:val="0"/>
        <w:adjustRightInd w:val="0"/>
        <w:spacing w:after="0" w:line="360" w:lineRule="auto"/>
        <w:rPr>
          <w:snapToGrid w:val="0"/>
        </w:rPr>
      </w:pPr>
      <w:r>
        <w:rPr>
          <w:b/>
        </w:rPr>
        <w:t>Artículo 32 de la Ley 11.923:</w:t>
      </w:r>
      <w:r>
        <w:t xml:space="preserve"> En el Ejercicio 2013 se incumplió con esta norma al contratar como funcionarios, bajo el régimen de arrendamiento de servicios, a personas que desempe</w:t>
      </w:r>
      <w:r w:rsidR="003C041C">
        <w:t>ñan otro cargo público rentado.</w:t>
      </w:r>
    </w:p>
    <w:p w:rsidR="00181B20" w:rsidRDefault="00181B20" w:rsidP="00181B20">
      <w:pPr>
        <w:pStyle w:val="Textoindependiente"/>
        <w:numPr>
          <w:ilvl w:val="0"/>
          <w:numId w:val="2"/>
        </w:numPr>
        <w:autoSpaceDE w:val="0"/>
        <w:autoSpaceDN w:val="0"/>
        <w:adjustRightInd w:val="0"/>
        <w:spacing w:after="0" w:line="360" w:lineRule="auto"/>
      </w:pPr>
      <w:r>
        <w:rPr>
          <w:b/>
        </w:rPr>
        <w:t>Artículo 7 de la Ley Nº 13.142, Decreto-Ley Nº 14.632 y Decreto            Nº 342/92:</w:t>
      </w:r>
      <w:r>
        <w:t xml:space="preserve"> La Intendencia no siempre verificó que sus proveedores estaban al día con sus obligaciones ante BPS y DGI al momento del </w:t>
      </w:r>
      <w:r w:rsidR="003C041C">
        <w:t>pago.</w:t>
      </w:r>
    </w:p>
    <w:p w:rsidR="00181B20" w:rsidRDefault="00181B20" w:rsidP="00181B20">
      <w:pPr>
        <w:pStyle w:val="Textoindependiente"/>
        <w:numPr>
          <w:ilvl w:val="0"/>
          <w:numId w:val="2"/>
        </w:numPr>
        <w:autoSpaceDE w:val="0"/>
        <w:autoSpaceDN w:val="0"/>
        <w:adjustRightInd w:val="0"/>
        <w:spacing w:after="0" w:line="360" w:lineRule="auto"/>
      </w:pPr>
      <w:r>
        <w:rPr>
          <w:b/>
        </w:rPr>
        <w:t>Artículo 1º de la Ley 17.829:</w:t>
      </w:r>
      <w:r>
        <w:t xml:space="preserve"> El orden de prelación aplicado para realizar las retenciones sobre retribuciones salariales no e</w:t>
      </w:r>
      <w:r w:rsidR="003C041C">
        <w:t>s el establecido en esta norma.</w:t>
      </w:r>
    </w:p>
    <w:p w:rsidR="00181B20" w:rsidRDefault="00181B20" w:rsidP="00181B20">
      <w:pPr>
        <w:pStyle w:val="Textoindependiente"/>
        <w:numPr>
          <w:ilvl w:val="0"/>
          <w:numId w:val="2"/>
        </w:numPr>
        <w:autoSpaceDE w:val="0"/>
        <w:autoSpaceDN w:val="0"/>
        <w:adjustRightInd w:val="0"/>
        <w:spacing w:after="0" w:line="360" w:lineRule="auto"/>
      </w:pPr>
      <w:r>
        <w:rPr>
          <w:b/>
        </w:rPr>
        <w:t>Artículos 70 y siguientes de la Ley 18.083 y Artículo 9 del Decreto       Nº 199/07 con la redacción dada por los Decretos Nos. 306/07 y 496/07:</w:t>
      </w:r>
      <w:r>
        <w:t xml:space="preserve"> Se incumplió con lo establecido por estas normas al contratar a empresas inscriptas como monotributistas, no estando la Intendencia habilitada para ello. Tales situaciones fueron observadas por la Contadora Delegada.</w:t>
      </w:r>
    </w:p>
    <w:p w:rsidR="00181B20" w:rsidRDefault="00181B20" w:rsidP="00181B20">
      <w:pPr>
        <w:pStyle w:val="Textoindependiente"/>
        <w:numPr>
          <w:ilvl w:val="0"/>
          <w:numId w:val="2"/>
        </w:numPr>
        <w:autoSpaceDE w:val="0"/>
        <w:autoSpaceDN w:val="0"/>
        <w:adjustRightInd w:val="0"/>
        <w:spacing w:after="0" w:line="360" w:lineRule="auto"/>
      </w:pPr>
      <w:r>
        <w:rPr>
          <w:b/>
        </w:rPr>
        <w:t>Artículos 15 y 16 del Decreto de la Junta Departamental de Lavalleja No. 994/82 (Estatuto del Funcionario Municipal):</w:t>
      </w:r>
      <w:r>
        <w:t xml:space="preserve"> No se dio cumplimiento a los requisitos relativos al ingreso, dado que se contrataron mediante designación directa de la Intendenta, funcionarios en el escalafón “Administrativo”, sin que se verificara la instancia del concurso abierto.</w:t>
      </w:r>
    </w:p>
    <w:p w:rsidR="00181B20" w:rsidRDefault="00181B20" w:rsidP="00181B20">
      <w:pPr>
        <w:pStyle w:val="Textoindependiente"/>
        <w:numPr>
          <w:ilvl w:val="0"/>
          <w:numId w:val="2"/>
        </w:numPr>
        <w:autoSpaceDE w:val="0"/>
        <w:autoSpaceDN w:val="0"/>
        <w:adjustRightInd w:val="0"/>
        <w:spacing w:after="0" w:line="360" w:lineRule="auto"/>
      </w:pPr>
      <w:r>
        <w:rPr>
          <w:b/>
        </w:rPr>
        <w:t xml:space="preserve">Artículo N° 5 de la Modificación Presupuestal del Ejercicio 2007: </w:t>
      </w:r>
      <w:r>
        <w:t>No se ha creado el Registro de Proveedores dispuesto por esta norma.</w:t>
      </w:r>
    </w:p>
    <w:p w:rsidR="00181B20" w:rsidRDefault="00181B20" w:rsidP="00181B20">
      <w:pPr>
        <w:pStyle w:val="Textoindependiente"/>
        <w:numPr>
          <w:ilvl w:val="0"/>
          <w:numId w:val="2"/>
        </w:numPr>
        <w:autoSpaceDE w:val="0"/>
        <w:autoSpaceDN w:val="0"/>
        <w:adjustRightInd w:val="0"/>
        <w:spacing w:after="0" w:line="360" w:lineRule="auto"/>
      </w:pPr>
      <w:r>
        <w:rPr>
          <w:b/>
        </w:rPr>
        <w:t xml:space="preserve">Resolución del 11 de mayo de 2005 del Tribunal de Cuentas: </w:t>
      </w:r>
      <w:r>
        <w:t>La Intendencia no ha comunicado a este Tribunal, los informes semestrales de las dependencias que tienen a su cargo la verificación del cumplimiento de los contratos d</w:t>
      </w:r>
      <w:r w:rsidR="003C041C">
        <w:t>e concesiones correspondientes.</w:t>
      </w:r>
    </w:p>
    <w:p w:rsidR="00181B20" w:rsidRDefault="00181B20" w:rsidP="00181B20">
      <w:pPr>
        <w:pStyle w:val="Textoindependiente"/>
        <w:numPr>
          <w:ilvl w:val="0"/>
          <w:numId w:val="2"/>
        </w:numPr>
        <w:autoSpaceDE w:val="0"/>
        <w:autoSpaceDN w:val="0"/>
        <w:adjustRightInd w:val="0"/>
        <w:spacing w:after="0" w:line="360" w:lineRule="auto"/>
      </w:pPr>
      <w:r>
        <w:rPr>
          <w:b/>
        </w:rPr>
        <w:t xml:space="preserve">Decretos 2.731/2008 y 2.902/2010 de la Junta Departamental: </w:t>
      </w:r>
      <w:r>
        <w:t>La Intendencia no cumplió durante el Ejercicio con los términos de caducidad dispuestos en los convenios que se rea</w:t>
      </w:r>
      <w:r w:rsidR="003C041C">
        <w:t>lizaron con los contribuyentes.</w:t>
      </w:r>
    </w:p>
    <w:p w:rsidR="00181B20" w:rsidRDefault="00181B20" w:rsidP="00181B20">
      <w:pPr>
        <w:pStyle w:val="Textoindependiente"/>
        <w:numPr>
          <w:ilvl w:val="0"/>
          <w:numId w:val="2"/>
        </w:numPr>
        <w:autoSpaceDE w:val="0"/>
        <w:autoSpaceDN w:val="0"/>
        <w:adjustRightInd w:val="0"/>
        <w:spacing w:after="0" w:line="360" w:lineRule="auto"/>
      </w:pPr>
      <w:r>
        <w:rPr>
          <w:b/>
        </w:rPr>
        <w:t xml:space="preserve">Artículo 28 del Decreto N° 2498/06 de la Junta Departamental: </w:t>
      </w:r>
      <w:r>
        <w:t>El procedimiento utilizado para el cálculo del monto imponible del impuesto de Contribución Inmobiliaria Urbana, no e</w:t>
      </w:r>
      <w:r w:rsidR="003C041C">
        <w:t>s el establecido en esta norma.</w:t>
      </w:r>
    </w:p>
    <w:p w:rsidR="00181B20" w:rsidRDefault="00181B20" w:rsidP="00181B20">
      <w:pPr>
        <w:pStyle w:val="Textoindependiente"/>
        <w:numPr>
          <w:ilvl w:val="0"/>
          <w:numId w:val="2"/>
        </w:numPr>
        <w:autoSpaceDE w:val="0"/>
        <w:autoSpaceDN w:val="0"/>
        <w:adjustRightInd w:val="0"/>
        <w:spacing w:after="0" w:line="360" w:lineRule="auto"/>
      </w:pPr>
      <w:r>
        <w:rPr>
          <w:b/>
        </w:rPr>
        <w:t xml:space="preserve">Artículos 67 y 68 del Decreto N° 2953/11 de la Junta Departamental: </w:t>
      </w:r>
      <w:r>
        <w:t>Los recursos que financian las actividades de los Municipios son establecidos por Resoluciones de la Intendenta, incumpliéndose con esta norma, la cual señala que la fuente de recursos de los Municipios serán los impuestos y tasas</w:t>
      </w:r>
      <w:r w:rsidR="003C041C">
        <w:t xml:space="preserve"> que se recauden en los mismos.</w:t>
      </w:r>
    </w:p>
    <w:p w:rsidR="00181B20" w:rsidRDefault="00181B20" w:rsidP="00181B20">
      <w:pPr>
        <w:pStyle w:val="Textoindependiente"/>
        <w:numPr>
          <w:ilvl w:val="0"/>
          <w:numId w:val="2"/>
        </w:numPr>
        <w:autoSpaceDE w:val="0"/>
        <w:autoSpaceDN w:val="0"/>
        <w:adjustRightInd w:val="0"/>
        <w:spacing w:after="0" w:line="360" w:lineRule="auto"/>
      </w:pPr>
      <w:r>
        <w:rPr>
          <w:b/>
        </w:rPr>
        <w:t>Ordenanza N° 62 del Tribunal de Cuentas:</w:t>
      </w:r>
      <w:r>
        <w:t xml:space="preserve"> No se dio cumplimiento a esta norma dado que se aplicaron exoneraciones, aprobadas por la Junta Departamental, que no fu</w:t>
      </w:r>
      <w:r w:rsidR="003C041C">
        <w:t>eron remitidas a este Tribunal.</w:t>
      </w:r>
    </w:p>
    <w:p w:rsidR="00181B20" w:rsidRDefault="00181B20" w:rsidP="00181B20">
      <w:pPr>
        <w:pStyle w:val="Textoindependiente"/>
        <w:numPr>
          <w:ilvl w:val="0"/>
          <w:numId w:val="2"/>
        </w:numPr>
        <w:autoSpaceDE w:val="0"/>
        <w:autoSpaceDN w:val="0"/>
        <w:adjustRightInd w:val="0"/>
        <w:spacing w:after="0" w:line="360" w:lineRule="auto"/>
      </w:pPr>
      <w:r>
        <w:rPr>
          <w:b/>
        </w:rPr>
        <w:t>Resolución de fecha 22/12/2010 del Tribunal de Cuentas:</w:t>
      </w:r>
      <w:r>
        <w:t xml:space="preserve"> En oportunidad de la liquidación de gastos de traslado, la Junta Departamental de Lavalleja no solicita a los Sres. Ediles declaraciones juradas con detalle de las fechas y lugares a los que concurrieron en cumplimiento de sus funciones.</w:t>
      </w:r>
    </w:p>
    <w:p w:rsidR="00181B20" w:rsidRDefault="00181B20">
      <w:pPr>
        <w:spacing w:line="360" w:lineRule="auto"/>
        <w:jc w:val="both"/>
        <w:rPr>
          <w:snapToGrid w:val="0"/>
        </w:rPr>
      </w:pPr>
    </w:p>
    <w:p w:rsidR="00181B20" w:rsidRDefault="00181B20">
      <w:pPr>
        <w:tabs>
          <w:tab w:val="num" w:pos="0"/>
        </w:tabs>
        <w:spacing w:line="360" w:lineRule="auto"/>
        <w:jc w:val="both"/>
        <w:rPr>
          <w:spacing w:val="-3"/>
          <w:lang w:val="es-ES_tradnl"/>
        </w:rPr>
      </w:pPr>
      <w:r>
        <w:t xml:space="preserve">Asimismo, durante el Ejercicio  se observaron gastos, los que fueron reiterados por el Ordenador y puestos oportunamente en conocimiento de la Junta Departamental por no cumplir con lo establecido por las siguientes normas: Artículos 15, 20, 21 y 33 del TOCAF, </w:t>
      </w:r>
      <w:r>
        <w:rPr>
          <w:spacing w:val="-3"/>
          <w:lang w:val="es-ES_tradnl"/>
        </w:rPr>
        <w:t>Artículo 71 de la Ley 18.083 y Resolución 688/92 de la Dirección General Impositiva.</w:t>
      </w:r>
    </w:p>
    <w:p w:rsidR="00181B20" w:rsidRDefault="00181B20">
      <w:pPr>
        <w:spacing w:line="360" w:lineRule="auto"/>
        <w:jc w:val="right"/>
      </w:pPr>
      <w:r>
        <w:t>Montevideo, 20 de octubre de 2014</w:t>
      </w:r>
    </w:p>
    <w:p w:rsidR="00181B20" w:rsidRDefault="00181B20">
      <w:pPr>
        <w:spacing w:line="360" w:lineRule="auto"/>
        <w:jc w:val="both"/>
      </w:pPr>
    </w:p>
    <w:p w:rsidR="00181B20" w:rsidRDefault="00181B20">
      <w:pPr>
        <w:spacing w:line="360" w:lineRule="auto"/>
        <w:jc w:val="both"/>
      </w:pPr>
    </w:p>
    <w:p w:rsidR="00181B20" w:rsidRDefault="00181B20" w:rsidP="00181B20">
      <w:pPr>
        <w:pStyle w:val="Ttulo1"/>
      </w:pPr>
      <w:r>
        <w:t>INFORME A LA ADMINISTRACIÓN</w:t>
      </w:r>
    </w:p>
    <w:p w:rsidR="00181B20" w:rsidRDefault="00181B20" w:rsidP="00181B20">
      <w:pPr>
        <w:autoSpaceDE w:val="0"/>
        <w:autoSpaceDN w:val="0"/>
        <w:adjustRightInd w:val="0"/>
        <w:ind w:firstLine="709"/>
        <w:jc w:val="both"/>
        <w:rPr>
          <w:b/>
          <w:color w:val="000000"/>
        </w:rPr>
      </w:pPr>
    </w:p>
    <w:p w:rsidR="00181B20" w:rsidRDefault="00181B20" w:rsidP="00181B20">
      <w:pPr>
        <w:pStyle w:val="Textoindependiente2"/>
        <w:jc w:val="both"/>
        <w:rPr>
          <w:rFonts w:ascii="Arial" w:hAnsi="Arial" w:cs="Arial"/>
        </w:rPr>
      </w:pPr>
      <w:r>
        <w:rPr>
          <w:rFonts w:ascii="Arial" w:hAnsi="Arial" w:cs="Arial"/>
        </w:rPr>
        <w:t>El Tribunal de Cuentas ha examinado la Rendición de Cuentas y Balance de Ejecución Presupuestal correspondiente al Ejercicio 2013 y ha emitido su correspondiente Dictamen.</w:t>
      </w:r>
    </w:p>
    <w:p w:rsidR="00181B20" w:rsidRDefault="00181B20" w:rsidP="00181B20">
      <w:pPr>
        <w:pStyle w:val="Textoindependiente2"/>
        <w:jc w:val="both"/>
        <w:rPr>
          <w:rFonts w:ascii="Arial" w:hAnsi="Arial" w:cs="Arial"/>
        </w:rPr>
      </w:pPr>
      <w:r>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181B20" w:rsidRDefault="00181B20" w:rsidP="00181B20">
      <w:pPr>
        <w:pStyle w:val="Textoindependiente"/>
        <w:spacing w:line="360" w:lineRule="auto"/>
        <w:rPr>
          <w:lang w:val="es-ES"/>
        </w:rPr>
      </w:pPr>
    </w:p>
    <w:p w:rsidR="00181B20" w:rsidRDefault="00181B20" w:rsidP="00181B20">
      <w:pPr>
        <w:pStyle w:val="Ttulo2"/>
        <w:jc w:val="both"/>
      </w:pPr>
      <w:bookmarkStart w:id="3" w:name="_Toc307325643"/>
      <w:r>
        <w:t xml:space="preserve">3.1.   </w:t>
      </w:r>
      <w:bookmarkStart w:id="4" w:name="_Toc278981667"/>
      <w:bookmarkStart w:id="5" w:name="_Toc178493986"/>
      <w:r>
        <w:t>Constataciones que no afectan la opinión</w:t>
      </w:r>
      <w:bookmarkEnd w:id="3"/>
      <w:bookmarkEnd w:id="4"/>
      <w:r>
        <w:t xml:space="preserve"> de los estados contables </w:t>
      </w:r>
      <w:bookmarkStart w:id="6" w:name="_Toc177813428"/>
      <w:bookmarkStart w:id="7" w:name="_Toc178493987"/>
      <w:bookmarkEnd w:id="5"/>
    </w:p>
    <w:p w:rsidR="00181B20" w:rsidRDefault="00181B20" w:rsidP="00181B20">
      <w:pPr>
        <w:spacing w:line="360" w:lineRule="auto"/>
        <w:jc w:val="both"/>
        <w:rPr>
          <w:b/>
        </w:rPr>
      </w:pPr>
      <w:bookmarkStart w:id="8" w:name="_Toc307325647"/>
      <w:bookmarkEnd w:id="6"/>
      <w:bookmarkEnd w:id="7"/>
    </w:p>
    <w:p w:rsidR="00181B20" w:rsidRDefault="00181B20" w:rsidP="00181B20">
      <w:pPr>
        <w:pStyle w:val="Subttulo"/>
        <w:rPr>
          <w:rFonts w:ascii="Arial" w:hAnsi="Arial"/>
          <w:b w:val="0"/>
        </w:rPr>
      </w:pPr>
      <w:r>
        <w:rPr>
          <w:rFonts w:ascii="Arial" w:hAnsi="Arial"/>
        </w:rPr>
        <w:t>3.1.1 Obligaciones presupuestales impagas</w:t>
      </w:r>
      <w:r>
        <w:rPr>
          <w:rFonts w:ascii="Arial" w:hAnsi="Arial"/>
          <w:b w:val="0"/>
        </w:rPr>
        <w:t xml:space="preserve"> </w:t>
      </w:r>
    </w:p>
    <w:p w:rsidR="00181B20" w:rsidRDefault="00181B20" w:rsidP="00181B20">
      <w:pPr>
        <w:pStyle w:val="Subttulo"/>
        <w:rPr>
          <w:rFonts w:ascii="Arial" w:hAnsi="Arial"/>
          <w:b w:val="0"/>
        </w:rPr>
      </w:pPr>
      <w:r>
        <w:rPr>
          <w:rFonts w:ascii="Arial" w:hAnsi="Arial"/>
          <w:b w:val="0"/>
        </w:rPr>
        <w:t>Los montos expuestos en el estado correspondiente a la Evolución de las Obligaciones Presupuestales Impagas, no incluyen los ajustes realizados en los saldos iniciales. Estos ajustes afectaron resultados de Ejercicios anteriores, por lo que el superávit acumulado ajustado al 31/12/2012 quedó establecido en $ 3.389.001.</w:t>
      </w:r>
    </w:p>
    <w:p w:rsidR="00181B20" w:rsidRDefault="00181B20" w:rsidP="00181B20">
      <w:pPr>
        <w:pStyle w:val="Subttulo"/>
        <w:rPr>
          <w:rFonts w:ascii="Arial" w:hAnsi="Arial"/>
          <w:b w:val="0"/>
        </w:rPr>
      </w:pPr>
    </w:p>
    <w:p w:rsidR="00181B20" w:rsidRDefault="00181B20" w:rsidP="00181B20">
      <w:pPr>
        <w:pStyle w:val="Subttulo"/>
        <w:rPr>
          <w:rFonts w:ascii="Arial" w:hAnsi="Arial"/>
        </w:rPr>
      </w:pPr>
      <w:r>
        <w:rPr>
          <w:rFonts w:ascii="Arial" w:hAnsi="Arial"/>
        </w:rPr>
        <w:t>3.1.2 Resultado del Ejercicio</w:t>
      </w:r>
    </w:p>
    <w:p w:rsidR="00181B20" w:rsidRDefault="00181B20" w:rsidP="00C56119">
      <w:pPr>
        <w:pStyle w:val="Subttulo"/>
        <w:rPr>
          <w:rFonts w:ascii="Arial" w:hAnsi="Arial"/>
          <w:b w:val="0"/>
        </w:rPr>
      </w:pPr>
      <w:r>
        <w:rPr>
          <w:rFonts w:ascii="Arial" w:hAnsi="Arial"/>
          <w:b w:val="0"/>
        </w:rPr>
        <w:t xml:space="preserve">El resultado del Ejercicio 2013 expuesto por la Intendencia, que asciende a </w:t>
      </w:r>
      <w:r w:rsidR="00C56119">
        <w:rPr>
          <w:rFonts w:ascii="Arial" w:hAnsi="Arial"/>
          <w:b w:val="0"/>
        </w:rPr>
        <w:t>$</w:t>
      </w:r>
      <w:r>
        <w:rPr>
          <w:rFonts w:ascii="Arial" w:hAnsi="Arial"/>
          <w:b w:val="0"/>
        </w:rPr>
        <w:t xml:space="preserve">62.651.335 de superávit, incluye gastos correspondientes al Ejercicio anterior por un total de $ 784.422, por lo que dicho resultado debería ascender a </w:t>
      </w:r>
      <w:r w:rsidR="00C56119">
        <w:rPr>
          <w:rFonts w:ascii="Arial" w:hAnsi="Arial"/>
          <w:b w:val="0"/>
        </w:rPr>
        <w:t>$</w:t>
      </w:r>
      <w:r w:rsidR="003C041C">
        <w:rPr>
          <w:rFonts w:ascii="Arial" w:hAnsi="Arial"/>
          <w:b w:val="0"/>
        </w:rPr>
        <w:t>63.435.757.</w:t>
      </w:r>
    </w:p>
    <w:p w:rsidR="00181B20" w:rsidRDefault="00181B20" w:rsidP="00181B20">
      <w:pPr>
        <w:pStyle w:val="Subttulo"/>
        <w:rPr>
          <w:rFonts w:ascii="Arial" w:hAnsi="Arial"/>
          <w:b w:val="0"/>
        </w:rPr>
      </w:pPr>
    </w:p>
    <w:p w:rsidR="00181B20" w:rsidRDefault="00181B20" w:rsidP="00181B20">
      <w:pPr>
        <w:spacing w:line="360" w:lineRule="auto"/>
        <w:jc w:val="both"/>
        <w:rPr>
          <w:b/>
        </w:rPr>
      </w:pPr>
      <w:r>
        <w:rPr>
          <w:b/>
        </w:rPr>
        <w:t>3.1.3 Resultado acumulado</w:t>
      </w:r>
    </w:p>
    <w:p w:rsidR="00181B20" w:rsidRDefault="00181B20" w:rsidP="00181B20">
      <w:pPr>
        <w:spacing w:line="360" w:lineRule="auto"/>
        <w:jc w:val="both"/>
      </w:pPr>
      <w:r>
        <w:t xml:space="preserve">El resultado acumulado al 31/12/2013 expuesto por la Intendencia asciende a    $ 67.312.043 de superávit. Dicho importe no coincide con el resultado acumulado inicial ajustado ($ 3.389.001 de superávit) más el resultado del Ejercicio 2013 ajustado ($ 63.435.757 de superávit), lo que totaliza </w:t>
      </w:r>
      <w:r w:rsidR="003C041C">
        <w:t>$</w:t>
      </w:r>
      <w:r>
        <w:t>66.824.758 de superávit acumulado. Cabe señalar que el superávit incluido en el estado de resultados acumulados del documento se expone erróneamente con signo negativo.</w:t>
      </w:r>
    </w:p>
    <w:p w:rsidR="00181B20" w:rsidRDefault="00181B20" w:rsidP="00181B20">
      <w:pPr>
        <w:spacing w:line="360" w:lineRule="auto"/>
        <w:jc w:val="both"/>
      </w:pPr>
    </w:p>
    <w:p w:rsidR="00181B20" w:rsidRDefault="00181B20" w:rsidP="00181B20">
      <w:pPr>
        <w:spacing w:line="360" w:lineRule="auto"/>
        <w:jc w:val="both"/>
        <w:rPr>
          <w:b/>
        </w:rPr>
      </w:pPr>
      <w:r>
        <w:rPr>
          <w:b/>
        </w:rPr>
        <w:t>3.1.4 Movimiento de fondos y valores</w:t>
      </w:r>
      <w:bookmarkEnd w:id="8"/>
    </w:p>
    <w:p w:rsidR="00181B20" w:rsidRDefault="00181B20" w:rsidP="00D861CE">
      <w:pPr>
        <w:pStyle w:val="Textoindependiente3"/>
        <w:jc w:val="both"/>
      </w:pPr>
      <w:r>
        <w:t>En el Estado Movimiento de Fondos y Valores, si bien el saldo final es correcto, los ingresos y egresos presupuestales del Ejercicio no coinciden con los informados en el Estado de Resultado del Ejercicio y en los Estados de ejecución del presupuesto con relación a los créditos y a los recursos.</w:t>
      </w:r>
    </w:p>
    <w:p w:rsidR="00D861CE" w:rsidRDefault="00D861CE" w:rsidP="00D861CE">
      <w:pPr>
        <w:pStyle w:val="Textoindependiente3"/>
        <w:jc w:val="both"/>
        <w:rPr>
          <w:b/>
        </w:rPr>
      </w:pPr>
    </w:p>
    <w:p w:rsidR="00181B20" w:rsidRDefault="00181B20" w:rsidP="00181B20">
      <w:pPr>
        <w:pStyle w:val="Textoindependiente"/>
        <w:rPr>
          <w:b/>
        </w:rPr>
      </w:pPr>
      <w:bookmarkStart w:id="9" w:name="_Toc278981668"/>
      <w:bookmarkStart w:id="10" w:name="_Toc307325649"/>
      <w:r>
        <w:rPr>
          <w:b/>
        </w:rPr>
        <w:t>3.1.5 Ejecución presupuestal</w:t>
      </w:r>
      <w:bookmarkEnd w:id="9"/>
      <w:r>
        <w:rPr>
          <w:b/>
        </w:rPr>
        <w:t xml:space="preserve"> de gastos</w:t>
      </w:r>
    </w:p>
    <w:p w:rsidR="00181B20" w:rsidRDefault="00181B20" w:rsidP="00181B20">
      <w:pPr>
        <w:pStyle w:val="Textoindependiente"/>
        <w:spacing w:line="360" w:lineRule="auto"/>
      </w:pPr>
      <w:r>
        <w:t>El total de Obligaciones Presupuestales Impagas generadas en el Ejercicio asciende  a $ 35:614.611, monto que no coincide con el “Gastado no pagado” del Estado de ejecución del presupuesto con relación a los créditos. Cabe mencionar que el total de obligaciones presupuestales impagas al cierre del Ejercicio (incluyendo las generadas en el mismo y las de Ejercicios anteriores) asciende a $ 35:985.168, importe éste que es tenido en cuenta a efectos de calcular el resul</w:t>
      </w:r>
      <w:r w:rsidR="00D861CE">
        <w:t>tado acumulado al 31/12/2013.</w:t>
      </w:r>
    </w:p>
    <w:p w:rsidR="00181B20" w:rsidRDefault="00181B20" w:rsidP="00181B20">
      <w:pPr>
        <w:pStyle w:val="Textoindependiente"/>
        <w:rPr>
          <w:b/>
        </w:rPr>
      </w:pPr>
      <w:r>
        <w:rPr>
          <w:b/>
        </w:rPr>
        <w:t>3.1.6 Imputación de gastos</w:t>
      </w:r>
    </w:p>
    <w:p w:rsidR="00181B20" w:rsidRDefault="00181B20" w:rsidP="00181B20">
      <w:pPr>
        <w:pStyle w:val="Textoindependiente"/>
        <w:spacing w:line="360" w:lineRule="auto"/>
      </w:pPr>
      <w:r>
        <w:t>Se constataron errores en la imputación de gastos de funcionamiento en el objeto 2.9.9 “Otros servicios no personales” por $ 2.493.260 que corresponden a gastos de inversiones en el objeto 3.5.2 “Camiones”.</w:t>
      </w:r>
    </w:p>
    <w:bookmarkEnd w:id="10"/>
    <w:p w:rsidR="00181B20" w:rsidRDefault="00181B20" w:rsidP="00181B20">
      <w:pPr>
        <w:pStyle w:val="Subttulo"/>
        <w:widowControl w:val="0"/>
        <w:rPr>
          <w:i/>
        </w:rPr>
      </w:pPr>
      <w:r>
        <w:rPr>
          <w:rFonts w:ascii="Arial" w:hAnsi="Arial"/>
        </w:rPr>
        <w:t>3.1.7 Juicios pendientes</w:t>
      </w:r>
    </w:p>
    <w:p w:rsidR="00181B20" w:rsidRDefault="00181B20" w:rsidP="00181B20">
      <w:pPr>
        <w:pStyle w:val="Textoindependiente"/>
        <w:widowControl w:val="0"/>
        <w:spacing w:after="0" w:line="360" w:lineRule="auto"/>
      </w:pPr>
      <w:r>
        <w:t xml:space="preserve">En el documento de Rendición de Cuentas correspondiente al Ejercicio 2013 se expone el detalle de los juicios contra la Intendencia. Los mismos consisten en importes reclamados al organismo por daños y perjuicios, cobro de pesos y demandas laborales. El monto total demandado asciende a $ 30.943.008, </w:t>
      </w:r>
      <w:r w:rsidR="00D861CE">
        <w:t>U$S</w:t>
      </w:r>
      <w:r>
        <w:t xml:space="preserve">1.941.227 y UR 256. </w:t>
      </w:r>
    </w:p>
    <w:p w:rsidR="00181B20" w:rsidRDefault="00181B20" w:rsidP="00181B20">
      <w:pPr>
        <w:pStyle w:val="Textoindependiente2"/>
        <w:widowControl w:val="0"/>
        <w:jc w:val="both"/>
        <w:rPr>
          <w:rStyle w:val="Nmerodepgina"/>
          <w:rFonts w:ascii="Arial" w:hAnsi="Arial" w:cs="Arial"/>
        </w:rPr>
      </w:pPr>
      <w:r>
        <w:rPr>
          <w:rStyle w:val="Nmerodepgina"/>
          <w:rFonts w:ascii="Arial" w:hAnsi="Arial" w:cs="Arial"/>
        </w:rPr>
        <w:t>El resultado acumulado puede estar sujeto a modificaciones por las posibles erogaciones que resulten de los mencionados juicios.</w:t>
      </w:r>
    </w:p>
    <w:p w:rsidR="00181B20" w:rsidRDefault="00181B20" w:rsidP="00181B20">
      <w:pPr>
        <w:pStyle w:val="Textoindependiente2"/>
        <w:widowControl w:val="0"/>
        <w:jc w:val="both"/>
        <w:rPr>
          <w:rStyle w:val="Nmerodepgina"/>
        </w:rPr>
      </w:pPr>
    </w:p>
    <w:p w:rsidR="00181B20" w:rsidRDefault="00181B20" w:rsidP="00181B20">
      <w:pPr>
        <w:pStyle w:val="Subttulo"/>
        <w:widowControl w:val="0"/>
      </w:pPr>
      <w:r>
        <w:rPr>
          <w:rFonts w:ascii="Arial" w:hAnsi="Arial"/>
        </w:rPr>
        <w:t>3.1.8 Fondos Indisponibles</w:t>
      </w:r>
    </w:p>
    <w:p w:rsidR="00181B20" w:rsidRDefault="00181B20" w:rsidP="00181B20">
      <w:pPr>
        <w:pStyle w:val="Subttulo"/>
        <w:widowControl w:val="0"/>
        <w:rPr>
          <w:rFonts w:ascii="Arial" w:hAnsi="Arial"/>
          <w:b w:val="0"/>
        </w:rPr>
      </w:pPr>
      <w:r>
        <w:rPr>
          <w:rFonts w:ascii="Arial" w:hAnsi="Arial"/>
          <w:b w:val="0"/>
        </w:rPr>
        <w:t>En el Estado N° 12 “Fondos Indisponibles”, los montos retenidos y pagados en el Ejercicio incluyen ajustes que no</w:t>
      </w:r>
      <w:bookmarkStart w:id="11" w:name="_Toc307325651"/>
      <w:r w:rsidR="00D861CE">
        <w:rPr>
          <w:rFonts w:ascii="Arial" w:hAnsi="Arial"/>
          <w:b w:val="0"/>
        </w:rPr>
        <w:t xml:space="preserve"> deben sumarse a dichos montos.</w:t>
      </w:r>
    </w:p>
    <w:p w:rsidR="00181B20" w:rsidRDefault="00181B20" w:rsidP="00181B20">
      <w:pPr>
        <w:pStyle w:val="Subttulo"/>
        <w:widowControl w:val="0"/>
      </w:pPr>
    </w:p>
    <w:p w:rsidR="00181B20" w:rsidRDefault="00181B20" w:rsidP="00181B20">
      <w:pPr>
        <w:pStyle w:val="Ttulo2"/>
      </w:pPr>
      <w:bookmarkStart w:id="12" w:name="_Toc307325652"/>
      <w:bookmarkEnd w:id="11"/>
      <w:r>
        <w:t>3.2 Incumplimiento de normas</w:t>
      </w:r>
      <w:bookmarkEnd w:id="12"/>
      <w:r>
        <w:t xml:space="preserve"> </w:t>
      </w:r>
    </w:p>
    <w:p w:rsidR="00181B20" w:rsidRDefault="00181B20" w:rsidP="00181B20">
      <w:pPr>
        <w:pStyle w:val="Textoindependiente"/>
        <w:spacing w:line="360" w:lineRule="auto"/>
        <w:rPr>
          <w:lang w:val="es-ES"/>
        </w:rPr>
      </w:pPr>
      <w:r>
        <w:rPr>
          <w:lang w:val="es-ES"/>
        </w:rPr>
        <w:t>Con referencia al incumplimiento de normas corresponde realizar las siguientes consideraciones:</w:t>
      </w:r>
    </w:p>
    <w:p w:rsidR="00181B20" w:rsidRDefault="00181B20" w:rsidP="00181B20">
      <w:pPr>
        <w:spacing w:line="360" w:lineRule="auto"/>
        <w:jc w:val="both"/>
        <w:rPr>
          <w:snapToGrid w:val="0"/>
        </w:rPr>
      </w:pPr>
      <w:r>
        <w:rPr>
          <w:b/>
        </w:rPr>
        <w:t>3.2.1</w:t>
      </w:r>
      <w:r>
        <w:t xml:space="preserve"> </w:t>
      </w:r>
      <w:r>
        <w:rPr>
          <w:b/>
          <w:snapToGrid w:val="0"/>
        </w:rPr>
        <w:t xml:space="preserve">Artículo 50 del TOCAF: </w:t>
      </w:r>
      <w:r>
        <w:rPr>
          <w:snapToGrid w:val="0"/>
        </w:rPr>
        <w:t>De acuerdo a lo establecido en esta norma, es obligatoria la publicación por parte de los organismos estatales en el sitio Web de Compras y Contrataciones Estatales, de la información correspondiente a contrataciones de obras, bienes y servicios de todas las licitaciones y convocatorias a procedimiento</w:t>
      </w:r>
      <w:r w:rsidR="00D861CE">
        <w:rPr>
          <w:snapToGrid w:val="0"/>
        </w:rPr>
        <w:t>s competitivos que se realicen.</w:t>
      </w:r>
    </w:p>
    <w:p w:rsidR="00181B20" w:rsidRDefault="00181B20" w:rsidP="00181B20">
      <w:pPr>
        <w:spacing w:line="360" w:lineRule="auto"/>
        <w:jc w:val="both"/>
        <w:rPr>
          <w:color w:val="000000"/>
        </w:rPr>
      </w:pPr>
    </w:p>
    <w:p w:rsidR="00181B20" w:rsidRDefault="00181B20" w:rsidP="00181B20">
      <w:pPr>
        <w:pStyle w:val="Textoindependiente"/>
        <w:spacing w:line="360" w:lineRule="auto"/>
        <w:rPr>
          <w:snapToGrid w:val="0"/>
        </w:rPr>
      </w:pPr>
      <w:r>
        <w:rPr>
          <w:b/>
          <w:snapToGrid w:val="0"/>
        </w:rPr>
        <w:t xml:space="preserve">3.2.2 Artículo 66 del TOCAF: </w:t>
      </w:r>
      <w:r>
        <w:rPr>
          <w:snapToGrid w:val="0"/>
        </w:rPr>
        <w:t>Cuando se utilice el procedimiento de invitar a los oferentes a mejorar sus ofertas, por tener éstas precios similares, deben considerarse aquellas que no difieran en m</w:t>
      </w:r>
      <w:r w:rsidR="00D861CE">
        <w:rPr>
          <w:snapToGrid w:val="0"/>
        </w:rPr>
        <w:t>á</w:t>
      </w:r>
      <w:r>
        <w:rPr>
          <w:snapToGrid w:val="0"/>
        </w:rPr>
        <w:t>s del 5% del precio de la menor. El plazo otorgado para la presentación de nuevas ofertas no debe ser menor a dos días hábiles, sin computar el día de la notificación, citación o emplazamiento.</w:t>
      </w:r>
    </w:p>
    <w:p w:rsidR="00181B20" w:rsidRDefault="00181B20" w:rsidP="00181B20">
      <w:pPr>
        <w:pStyle w:val="Textoindependiente"/>
        <w:spacing w:line="360" w:lineRule="auto"/>
        <w:rPr>
          <w:snapToGrid w:val="0"/>
        </w:rPr>
      </w:pPr>
      <w:r>
        <w:rPr>
          <w:b/>
          <w:snapToGrid w:val="0"/>
        </w:rPr>
        <w:t>3.2.3</w:t>
      </w:r>
      <w:r>
        <w:rPr>
          <w:snapToGrid w:val="0"/>
        </w:rPr>
        <w:t xml:space="preserve"> </w:t>
      </w:r>
      <w:r>
        <w:rPr>
          <w:b/>
          <w:snapToGrid w:val="0"/>
        </w:rPr>
        <w:t xml:space="preserve">Artículo 111 del TOCAF: </w:t>
      </w:r>
      <w:r>
        <w:rPr>
          <w:snapToGrid w:val="0"/>
        </w:rPr>
        <w:t>A efectos de dar cumplimiento a esta norma, en lo que refiere a la coordinación de la planificación de auditorías, se requiere el análisis por parte de este Tribunal, del plan de trabajo y los informes producidos por la Unidad de Auditoría Interna de la Intendencia.</w:t>
      </w:r>
    </w:p>
    <w:p w:rsidR="00181B20" w:rsidRDefault="00181B20" w:rsidP="00181B20">
      <w:pPr>
        <w:pStyle w:val="Textoindependiente"/>
        <w:spacing w:line="360" w:lineRule="auto"/>
        <w:rPr>
          <w:snapToGrid w:val="0"/>
        </w:rPr>
      </w:pPr>
      <w:r>
        <w:rPr>
          <w:b/>
          <w:snapToGrid w:val="0"/>
        </w:rPr>
        <w:t xml:space="preserve">3.2.4 Artículo 132 del TOCAF y Ordenanza N° 77 del Tribunal de Cuentas: </w:t>
      </w:r>
      <w:r>
        <w:rPr>
          <w:snapToGrid w:val="0"/>
        </w:rPr>
        <w:t>De acuerdo a lo establecido por estas normas, las rendiciones de cuentas de fondos percibidos del Estado, deberán presentarse en un plazo de 60 días contados a partir del último día del mes en q</w:t>
      </w:r>
      <w:r w:rsidR="00D861CE">
        <w:rPr>
          <w:snapToGrid w:val="0"/>
        </w:rPr>
        <w:t>ue se recibieron dichos fondos.</w:t>
      </w:r>
    </w:p>
    <w:p w:rsidR="00181B20" w:rsidRDefault="00181B20" w:rsidP="00181B20">
      <w:pPr>
        <w:pStyle w:val="Textoindependiente"/>
        <w:spacing w:line="360" w:lineRule="auto"/>
        <w:rPr>
          <w:b/>
        </w:rPr>
      </w:pPr>
      <w:r>
        <w:rPr>
          <w:b/>
        </w:rPr>
        <w:t xml:space="preserve">3.2.5 Artículos 67 y 68 del Decreto N° 2953/11 de la Junta Departamental: </w:t>
      </w:r>
      <w:r>
        <w:t>De acuerdo a lo establecido en el presupuesto quinquenal vigente, los Municipios tendrán como fuente de recursos: la Contribución Inmobiliaria Urbana y Suburbana, la Patente de Rodados generada por los vehículos empadronados en la localidad y los demás impuestos y tasas que se recauden en el mismo</w:t>
      </w:r>
      <w:r w:rsidRPr="00D861CE">
        <w:t>.</w:t>
      </w:r>
    </w:p>
    <w:p w:rsidR="00181B20" w:rsidRDefault="00181B20" w:rsidP="00181B20">
      <w:pPr>
        <w:pStyle w:val="Textoindependiente"/>
        <w:spacing w:line="360" w:lineRule="auto"/>
      </w:pPr>
      <w:r>
        <w:rPr>
          <w:b/>
        </w:rPr>
        <w:t>3.2.6 Resolución  de fecha 22/12/2010 del Tribunal de Cuentas:</w:t>
      </w:r>
      <w:r>
        <w:t xml:space="preserve"> No se ha dado cumplimiento a lo establecido por esta norma, ya que la Junta Departamental de Lavalleja, en oportunidad de liquidar gastos de traslado, hospedaje y alimentación realizados por los Sres. Ediles, no exige a éstos la presentación de una declaración jurada con detalle de las fechas y lugares a los que concurrieron en</w:t>
      </w:r>
      <w:r w:rsidR="00D861CE">
        <w:t xml:space="preserve"> cumplimiento de sus funciones.</w:t>
      </w:r>
    </w:p>
    <w:p w:rsidR="00181B20" w:rsidRDefault="00181B20" w:rsidP="00181B20">
      <w:pPr>
        <w:pStyle w:val="Ttulo2"/>
      </w:pPr>
      <w:bookmarkStart w:id="13" w:name="_Toc307325657"/>
      <w:r>
        <w:t>3.3 Debilidades de Control Interno</w:t>
      </w:r>
      <w:bookmarkEnd w:id="13"/>
    </w:p>
    <w:p w:rsidR="00181B20" w:rsidRDefault="00181B20" w:rsidP="00181B20">
      <w:pPr>
        <w:pStyle w:val="Ttulo2"/>
      </w:pPr>
      <w:bookmarkStart w:id="14" w:name="_Toc307325658"/>
      <w:r>
        <w:t>3.3.1 Respecto a recursos y manejo de fondos</w:t>
      </w:r>
      <w:bookmarkEnd w:id="14"/>
    </w:p>
    <w:p w:rsidR="00181B20" w:rsidRDefault="00181B20" w:rsidP="00181B20">
      <w:pPr>
        <w:numPr>
          <w:ilvl w:val="0"/>
          <w:numId w:val="3"/>
        </w:numPr>
        <w:tabs>
          <w:tab w:val="clear" w:pos="720"/>
          <w:tab w:val="num" w:pos="360"/>
        </w:tabs>
        <w:autoSpaceDE w:val="0"/>
        <w:autoSpaceDN w:val="0"/>
        <w:adjustRightInd w:val="0"/>
        <w:spacing w:line="360" w:lineRule="auto"/>
        <w:ind w:left="360"/>
        <w:jc w:val="both"/>
        <w:rPr>
          <w:color w:val="000000"/>
        </w:rPr>
      </w:pPr>
      <w:r>
        <w:rPr>
          <w:color w:val="000000"/>
        </w:rPr>
        <w:t>No se mantiene un compendio actualizado de todas las normas tributarias aplicadas por la Intendencia.</w:t>
      </w:r>
    </w:p>
    <w:p w:rsidR="00181B20" w:rsidRDefault="00181B20" w:rsidP="00181B20">
      <w:pPr>
        <w:numPr>
          <w:ilvl w:val="0"/>
          <w:numId w:val="3"/>
        </w:numPr>
        <w:tabs>
          <w:tab w:val="clear" w:pos="720"/>
          <w:tab w:val="num" w:pos="360"/>
        </w:tabs>
        <w:autoSpaceDE w:val="0"/>
        <w:autoSpaceDN w:val="0"/>
        <w:adjustRightInd w:val="0"/>
        <w:spacing w:line="360" w:lineRule="auto"/>
        <w:ind w:left="360"/>
        <w:jc w:val="both"/>
        <w:rPr>
          <w:color w:val="000000"/>
        </w:rPr>
      </w:pPr>
      <w:r>
        <w:rPr>
          <w:color w:val="000000"/>
        </w:rPr>
        <w:t>No existen manuales de procedimientos relativos al proceso de recaudación.</w:t>
      </w:r>
    </w:p>
    <w:p w:rsidR="00181B20" w:rsidRDefault="00181B20" w:rsidP="00181B20">
      <w:pPr>
        <w:pStyle w:val="Textoindependiente"/>
        <w:numPr>
          <w:ilvl w:val="0"/>
          <w:numId w:val="3"/>
        </w:numPr>
        <w:tabs>
          <w:tab w:val="clear" w:pos="720"/>
          <w:tab w:val="num" w:pos="360"/>
        </w:tabs>
        <w:autoSpaceDE w:val="0"/>
        <w:autoSpaceDN w:val="0"/>
        <w:adjustRightInd w:val="0"/>
        <w:spacing w:after="0" w:line="360" w:lineRule="auto"/>
        <w:ind w:left="360"/>
      </w:pPr>
      <w:r>
        <w:t xml:space="preserve">El sistema informático numera todas las transacciones en forma correlativa,  </w:t>
      </w:r>
      <w:proofErr w:type="gramStart"/>
      <w:r>
        <w:t>tanto</w:t>
      </w:r>
      <w:proofErr w:type="gramEnd"/>
      <w:r>
        <w:t xml:space="preserve"> recibos de cobro, anulaciones de recibos, asientos y ajustes contables, etc., lo que dificulta la realización de controles de secuencia numérica.</w:t>
      </w:r>
    </w:p>
    <w:p w:rsidR="00181B20" w:rsidRDefault="00181B20" w:rsidP="00181B20">
      <w:pPr>
        <w:pStyle w:val="Textoindependiente"/>
        <w:numPr>
          <w:ilvl w:val="0"/>
          <w:numId w:val="3"/>
        </w:numPr>
        <w:tabs>
          <w:tab w:val="clear" w:pos="720"/>
          <w:tab w:val="num" w:pos="360"/>
        </w:tabs>
        <w:autoSpaceDE w:val="0"/>
        <w:autoSpaceDN w:val="0"/>
        <w:adjustRightInd w:val="0"/>
        <w:spacing w:after="0" w:line="360" w:lineRule="auto"/>
        <w:ind w:left="360"/>
      </w:pPr>
      <w:r>
        <w:t>No se realizan controles a efectos de verificar la integridad y exactitud de la facturación contabilizada por concepto de arre</w:t>
      </w:r>
      <w:r w:rsidR="00D861CE">
        <w:t>ndamientos de zonas de camping.</w:t>
      </w:r>
    </w:p>
    <w:p w:rsidR="00181B20" w:rsidRDefault="00181B20" w:rsidP="00181B20">
      <w:pPr>
        <w:pStyle w:val="Textoindependiente"/>
        <w:numPr>
          <w:ilvl w:val="0"/>
          <w:numId w:val="3"/>
        </w:numPr>
        <w:tabs>
          <w:tab w:val="clear" w:pos="720"/>
          <w:tab w:val="num" w:pos="360"/>
        </w:tabs>
        <w:autoSpaceDE w:val="0"/>
        <w:autoSpaceDN w:val="0"/>
        <w:adjustRightInd w:val="0"/>
        <w:spacing w:after="0" w:line="360" w:lineRule="auto"/>
        <w:ind w:left="360"/>
      </w:pPr>
      <w:r>
        <w:t>Se realizan traslados de fondos en efectivo desde y hacia las Juntas Locales, los Municipios y los Campings, sin contar con custodia adecuada.</w:t>
      </w:r>
    </w:p>
    <w:p w:rsidR="00181B20" w:rsidRDefault="00181B20" w:rsidP="00181B20">
      <w:pPr>
        <w:pStyle w:val="Textoindependiente"/>
        <w:numPr>
          <w:ilvl w:val="0"/>
          <w:numId w:val="3"/>
        </w:numPr>
        <w:tabs>
          <w:tab w:val="clear" w:pos="720"/>
          <w:tab w:val="num" w:pos="360"/>
        </w:tabs>
        <w:autoSpaceDE w:val="0"/>
        <w:autoSpaceDN w:val="0"/>
        <w:adjustRightInd w:val="0"/>
        <w:spacing w:after="0" w:line="360" w:lineRule="auto"/>
        <w:ind w:left="360"/>
      </w:pPr>
      <w:r>
        <w:t>En oportunidad de realizar arqueos en Juntas Locales, se constataron pagos realizados sin la intervención preventiva del Contador Delegado.</w:t>
      </w:r>
    </w:p>
    <w:p w:rsidR="00181B20" w:rsidRDefault="00181B20" w:rsidP="00181B20">
      <w:pPr>
        <w:pStyle w:val="Textoindependiente"/>
        <w:numPr>
          <w:ilvl w:val="0"/>
          <w:numId w:val="3"/>
        </w:numPr>
        <w:tabs>
          <w:tab w:val="clear" w:pos="720"/>
          <w:tab w:val="num" w:pos="360"/>
        </w:tabs>
        <w:autoSpaceDE w:val="0"/>
        <w:autoSpaceDN w:val="0"/>
        <w:adjustRightInd w:val="0"/>
        <w:spacing w:after="0" w:line="360" w:lineRule="auto"/>
        <w:ind w:left="360"/>
      </w:pPr>
      <w:r>
        <w:t>No se realiza un adecuado seguimiento a los convenios de financiación de deudas.</w:t>
      </w:r>
    </w:p>
    <w:p w:rsidR="00181B20" w:rsidRDefault="00181B20" w:rsidP="00181B20">
      <w:pPr>
        <w:pStyle w:val="Textoindependiente"/>
        <w:numPr>
          <w:ilvl w:val="0"/>
          <w:numId w:val="3"/>
        </w:numPr>
        <w:tabs>
          <w:tab w:val="clear" w:pos="720"/>
          <w:tab w:val="num" w:pos="360"/>
        </w:tabs>
        <w:autoSpaceDE w:val="0"/>
        <w:autoSpaceDN w:val="0"/>
        <w:adjustRightInd w:val="0"/>
        <w:spacing w:after="0" w:line="360" w:lineRule="auto"/>
        <w:ind w:left="360"/>
      </w:pPr>
      <w:r>
        <w:rPr>
          <w:lang w:val="es-MX"/>
        </w:rPr>
        <w:t>El sistema de recaudación no está programado de forma tal que se dé la baja en forma automática, por amnistías tributarias, a los convenios incumplidos.</w:t>
      </w:r>
    </w:p>
    <w:p w:rsidR="00181B20" w:rsidRDefault="00181B20" w:rsidP="00181B20">
      <w:pPr>
        <w:pStyle w:val="Textoindependiente"/>
        <w:numPr>
          <w:ilvl w:val="0"/>
          <w:numId w:val="3"/>
        </w:numPr>
        <w:tabs>
          <w:tab w:val="clear" w:pos="720"/>
          <w:tab w:val="num" w:pos="360"/>
        </w:tabs>
        <w:autoSpaceDE w:val="0"/>
        <w:autoSpaceDN w:val="0"/>
        <w:adjustRightInd w:val="0"/>
        <w:spacing w:after="0" w:line="360" w:lineRule="auto"/>
        <w:ind w:left="360"/>
      </w:pPr>
      <w:r>
        <w:rPr>
          <w:lang w:val="es-MX"/>
        </w:rPr>
        <w:t xml:space="preserve">El seguro de </w:t>
      </w:r>
      <w:r>
        <w:t>caución</w:t>
      </w:r>
      <w:r>
        <w:rPr>
          <w:lang w:val="es-MX"/>
        </w:rPr>
        <w:t xml:space="preserve"> </w:t>
      </w:r>
      <w:r>
        <w:t>de fidelidad contratado no cubre a la totalidad de funcionarios que manejan o custodian fondos o valores.</w:t>
      </w:r>
      <w:bookmarkStart w:id="15" w:name="_Toc307325659"/>
    </w:p>
    <w:p w:rsidR="00181B20" w:rsidRDefault="00181B20" w:rsidP="00181B20">
      <w:pPr>
        <w:pStyle w:val="Textoindependiente"/>
        <w:numPr>
          <w:ilvl w:val="0"/>
          <w:numId w:val="3"/>
        </w:numPr>
        <w:tabs>
          <w:tab w:val="clear" w:pos="720"/>
          <w:tab w:val="num" w:pos="360"/>
        </w:tabs>
        <w:autoSpaceDE w:val="0"/>
        <w:autoSpaceDN w:val="0"/>
        <w:adjustRightInd w:val="0"/>
        <w:spacing w:after="0" w:line="360" w:lineRule="auto"/>
        <w:ind w:left="360"/>
      </w:pPr>
      <w:r>
        <w:t xml:space="preserve">Existen fondos pendientes de rendición con una antigüedad mayor a los </w:t>
      </w:r>
      <w:r>
        <w:rPr>
          <w:color w:val="000000"/>
        </w:rPr>
        <w:t>60 días contados a partir del último día del mes en que se otorgaron dichos fondos</w:t>
      </w:r>
      <w:r w:rsidR="00D861CE">
        <w:t>.</w:t>
      </w:r>
    </w:p>
    <w:p w:rsidR="00181B20" w:rsidRDefault="00181B20" w:rsidP="00181B20">
      <w:pPr>
        <w:pStyle w:val="Textoindependiente"/>
        <w:autoSpaceDE w:val="0"/>
        <w:autoSpaceDN w:val="0"/>
        <w:adjustRightInd w:val="0"/>
        <w:spacing w:after="0" w:line="360" w:lineRule="auto"/>
        <w:ind w:left="360"/>
      </w:pPr>
    </w:p>
    <w:p w:rsidR="00181B20" w:rsidRDefault="00181B20" w:rsidP="00181B20">
      <w:pPr>
        <w:pStyle w:val="Textoindependiente"/>
      </w:pPr>
      <w:r>
        <w:rPr>
          <w:b/>
        </w:rPr>
        <w:t>3.3.2 Respecto a retribuciones personales</w:t>
      </w:r>
      <w:bookmarkEnd w:id="15"/>
      <w:r>
        <w:t xml:space="preserve"> </w:t>
      </w:r>
    </w:p>
    <w:p w:rsidR="00181B20" w:rsidRDefault="00181B20" w:rsidP="00181B20">
      <w:pPr>
        <w:numPr>
          <w:ilvl w:val="0"/>
          <w:numId w:val="3"/>
        </w:numPr>
        <w:tabs>
          <w:tab w:val="clear" w:pos="720"/>
          <w:tab w:val="num" w:pos="360"/>
        </w:tabs>
        <w:autoSpaceDE w:val="0"/>
        <w:autoSpaceDN w:val="0"/>
        <w:adjustRightInd w:val="0"/>
        <w:spacing w:line="360" w:lineRule="auto"/>
        <w:ind w:left="360"/>
        <w:jc w:val="both"/>
      </w:pPr>
      <w:r>
        <w:rPr>
          <w:color w:val="000000"/>
        </w:rPr>
        <w:t xml:space="preserve">No se dispone de </w:t>
      </w:r>
      <w:r>
        <w:t>un compendio normativo actualizado que incluya las normas presupuestales de la totalidad de las partidas</w:t>
      </w:r>
      <w:r w:rsidR="00D861CE">
        <w:t xml:space="preserve"> de carácter salarial abonadas.</w:t>
      </w:r>
    </w:p>
    <w:p w:rsidR="00181B20" w:rsidRDefault="00181B20" w:rsidP="00181B20">
      <w:pPr>
        <w:numPr>
          <w:ilvl w:val="0"/>
          <w:numId w:val="3"/>
        </w:numPr>
        <w:tabs>
          <w:tab w:val="clear" w:pos="720"/>
          <w:tab w:val="num" w:pos="360"/>
        </w:tabs>
        <w:autoSpaceDE w:val="0"/>
        <w:autoSpaceDN w:val="0"/>
        <w:adjustRightInd w:val="0"/>
        <w:spacing w:line="360" w:lineRule="auto"/>
        <w:ind w:left="360"/>
        <w:jc w:val="both"/>
      </w:pPr>
      <w:r>
        <w:t>No se verifica que todas las partidas de carácter salarial liquidadas cuenten con norma presupuestal habilitante. Se liquidaron partidas que no están establecidas en la normativa vigente.</w:t>
      </w:r>
    </w:p>
    <w:p w:rsidR="00181B20" w:rsidRDefault="00181B20" w:rsidP="00181B20">
      <w:pPr>
        <w:pStyle w:val="Textoindependiente"/>
        <w:numPr>
          <w:ilvl w:val="0"/>
          <w:numId w:val="3"/>
        </w:numPr>
        <w:tabs>
          <w:tab w:val="clear" w:pos="720"/>
          <w:tab w:val="num" w:pos="360"/>
        </w:tabs>
        <w:autoSpaceDE w:val="0"/>
        <w:autoSpaceDN w:val="0"/>
        <w:adjustRightInd w:val="0"/>
        <w:spacing w:after="0" w:line="360" w:lineRule="auto"/>
        <w:ind w:left="360"/>
      </w:pPr>
      <w:r>
        <w:t xml:space="preserve">Los controles implementados no permitieron detectar el pago de cobertura médica a personas a las que no les correspondía el referido beneficio. </w:t>
      </w:r>
    </w:p>
    <w:p w:rsidR="00181B20" w:rsidRDefault="00181B20" w:rsidP="00181B20">
      <w:pPr>
        <w:numPr>
          <w:ilvl w:val="0"/>
          <w:numId w:val="6"/>
        </w:numPr>
        <w:spacing w:line="360" w:lineRule="auto"/>
        <w:ind w:left="357" w:hanging="357"/>
        <w:jc w:val="both"/>
        <w:rPr>
          <w:lang w:val="es-MX"/>
        </w:rPr>
      </w:pPr>
      <w:r>
        <w:t>No se realiza un adecuado seguimiento a las deudas generadas por  funcionarios y jubilados por asistencia médica. Debido a los retrasos en los pagos, se realizaron convenios de financiación de la deuda mantenida por éstos sin que exista una norma habilitante a tal efecto.</w:t>
      </w:r>
    </w:p>
    <w:p w:rsidR="00181B20" w:rsidRDefault="00181B20" w:rsidP="00181B20">
      <w:pPr>
        <w:numPr>
          <w:ilvl w:val="0"/>
          <w:numId w:val="5"/>
        </w:numPr>
        <w:spacing w:line="360" w:lineRule="auto"/>
        <w:ind w:left="357" w:hanging="357"/>
        <w:jc w:val="both"/>
      </w:pPr>
      <w:r>
        <w:rPr>
          <w:lang w:val="es-MX"/>
        </w:rPr>
        <w:t>Se suscribieron contratos de servicios con fecha posterior a la efectiva prestación del m</w:t>
      </w:r>
      <w:r w:rsidR="00D861CE">
        <w:rPr>
          <w:lang w:val="es-MX"/>
        </w:rPr>
        <w:t>ismo por parte del funcionario.</w:t>
      </w:r>
    </w:p>
    <w:p w:rsidR="00181B20" w:rsidRDefault="00181B20" w:rsidP="00181B20">
      <w:pPr>
        <w:numPr>
          <w:ilvl w:val="0"/>
          <w:numId w:val="5"/>
        </w:numPr>
        <w:spacing w:line="360" w:lineRule="auto"/>
        <w:ind w:left="357" w:hanging="357"/>
        <w:jc w:val="both"/>
      </w:pPr>
      <w:r>
        <w:rPr>
          <w:lang w:val="es-MX"/>
        </w:rPr>
        <w:t>Las horas extras exceden en algunos casos los topes máximos establecidos legalmente.</w:t>
      </w:r>
    </w:p>
    <w:p w:rsidR="00181B20" w:rsidRDefault="00181B20" w:rsidP="00181B20">
      <w:pPr>
        <w:pStyle w:val="NormalWeb"/>
        <w:numPr>
          <w:ilvl w:val="0"/>
          <w:numId w:val="5"/>
        </w:numPr>
        <w:spacing w:before="0" w:after="0" w:line="360" w:lineRule="auto"/>
        <w:ind w:left="357" w:hanging="357"/>
        <w:jc w:val="both"/>
        <w:rPr>
          <w:rFonts w:ascii="Arial" w:hAnsi="Arial"/>
        </w:rPr>
      </w:pPr>
      <w:r>
        <w:rPr>
          <w:rFonts w:ascii="Arial" w:hAnsi="Arial"/>
        </w:rPr>
        <w:t>No se verifica que todos los conceptos gravados se computen a efectos del cálculo del IRPF.</w:t>
      </w:r>
    </w:p>
    <w:p w:rsidR="00181B20" w:rsidRDefault="00181B20" w:rsidP="00181B20">
      <w:pPr>
        <w:pStyle w:val="NormalWeb"/>
        <w:numPr>
          <w:ilvl w:val="0"/>
          <w:numId w:val="5"/>
        </w:numPr>
        <w:spacing w:before="0" w:after="0" w:line="360" w:lineRule="auto"/>
        <w:ind w:left="357" w:right="119" w:hanging="357"/>
        <w:jc w:val="both"/>
        <w:rPr>
          <w:rFonts w:ascii="Arial" w:hAnsi="Arial"/>
        </w:rPr>
      </w:pPr>
      <w:r>
        <w:rPr>
          <w:rFonts w:ascii="Arial" w:hAnsi="Arial"/>
        </w:rPr>
        <w:t>El ingreso a la función pública de nuevos funcionarios, en el escalafón “Administrativo”, no se realizó de acuerdo a los procedimientos previstos en el Estatuto vigente.</w:t>
      </w:r>
    </w:p>
    <w:p w:rsidR="00181B20" w:rsidRDefault="00181B20" w:rsidP="00181B20">
      <w:pPr>
        <w:pStyle w:val="NormalWeb"/>
        <w:numPr>
          <w:ilvl w:val="0"/>
          <w:numId w:val="5"/>
        </w:numPr>
        <w:spacing w:before="0" w:after="0" w:line="360" w:lineRule="auto"/>
        <w:ind w:left="357" w:right="119" w:hanging="357"/>
        <w:jc w:val="both"/>
        <w:rPr>
          <w:rFonts w:ascii="Arial" w:hAnsi="Arial"/>
        </w:rPr>
      </w:pPr>
      <w:r>
        <w:rPr>
          <w:rFonts w:ascii="Arial" w:hAnsi="Arial"/>
        </w:rPr>
        <w:t>Se contrataron funcionarios sin que existieran los cargos vacantes y se liquidaron sueldos por importes diferentes a los previstos en el presupuesto.</w:t>
      </w:r>
    </w:p>
    <w:p w:rsidR="00181B20" w:rsidRDefault="00181B20" w:rsidP="00181B20">
      <w:pPr>
        <w:numPr>
          <w:ilvl w:val="0"/>
          <w:numId w:val="6"/>
        </w:numPr>
        <w:spacing w:line="360" w:lineRule="auto"/>
        <w:jc w:val="both"/>
        <w:rPr>
          <w:lang w:val="es-MX"/>
        </w:rPr>
      </w:pPr>
      <w:r>
        <w:rPr>
          <w:lang w:val="es-MX"/>
        </w:rPr>
        <w:t>A los funcionarios que no tienen derecho a la percepción de asignación familiar ni hogar constituido, se les liquida una partida fija mensual no establecida en el presupuesto vigente.</w:t>
      </w:r>
    </w:p>
    <w:p w:rsidR="00181B20" w:rsidRDefault="00181B20" w:rsidP="00181B20">
      <w:pPr>
        <w:numPr>
          <w:ilvl w:val="0"/>
          <w:numId w:val="6"/>
        </w:numPr>
        <w:spacing w:line="360" w:lineRule="auto"/>
        <w:jc w:val="both"/>
        <w:rPr>
          <w:lang w:val="es-MX"/>
        </w:rPr>
      </w:pPr>
      <w:r>
        <w:rPr>
          <w:lang w:val="es-MX"/>
        </w:rPr>
        <w:t>Si bien está establecido en el presupuesto vigente la carga horaria por escalafón, no se realizan adecuados controles de asistencia y horario a la totalidad de los funcionarios.</w:t>
      </w:r>
    </w:p>
    <w:p w:rsidR="00181B20" w:rsidRDefault="00181B20" w:rsidP="00181B20">
      <w:pPr>
        <w:numPr>
          <w:ilvl w:val="0"/>
          <w:numId w:val="6"/>
        </w:numPr>
        <w:spacing w:line="360" w:lineRule="auto"/>
        <w:jc w:val="both"/>
        <w:rPr>
          <w:lang w:val="es-MX"/>
        </w:rPr>
      </w:pPr>
      <w:r>
        <w:rPr>
          <w:lang w:val="es-MX"/>
        </w:rPr>
        <w:t>Los ajustes salariales aplicados en el Ejercicio no fueron los establecidos en el presupuesto vigente.</w:t>
      </w:r>
    </w:p>
    <w:p w:rsidR="00181B20" w:rsidRDefault="00181B20" w:rsidP="00181B20">
      <w:pPr>
        <w:spacing w:line="360" w:lineRule="auto"/>
        <w:ind w:left="360"/>
        <w:jc w:val="both"/>
        <w:rPr>
          <w:lang w:val="es-MX"/>
        </w:rPr>
      </w:pPr>
    </w:p>
    <w:p w:rsidR="00181B20" w:rsidRDefault="00181B20" w:rsidP="00181B20">
      <w:pPr>
        <w:pStyle w:val="Ttulo2"/>
        <w:spacing w:after="0"/>
      </w:pPr>
      <w:bookmarkStart w:id="16" w:name="_Toc307325660"/>
      <w:r>
        <w:t>3.3.3 Respecto al Sistema de Compras</w:t>
      </w:r>
      <w:bookmarkEnd w:id="16"/>
    </w:p>
    <w:p w:rsidR="00181B20" w:rsidRDefault="00181B20" w:rsidP="00181B20">
      <w:pPr>
        <w:pStyle w:val="Textoindependiente"/>
        <w:numPr>
          <w:ilvl w:val="0"/>
          <w:numId w:val="4"/>
        </w:numPr>
        <w:tabs>
          <w:tab w:val="clear" w:pos="720"/>
          <w:tab w:val="num" w:pos="360"/>
        </w:tabs>
        <w:autoSpaceDE w:val="0"/>
        <w:autoSpaceDN w:val="0"/>
        <w:adjustRightInd w:val="0"/>
        <w:spacing w:after="0" w:line="360" w:lineRule="auto"/>
        <w:ind w:left="357" w:hanging="357"/>
      </w:pPr>
      <w:r>
        <w:t>No existe un manual de procedimientos de compras.</w:t>
      </w:r>
    </w:p>
    <w:p w:rsidR="00181B20" w:rsidRDefault="00181B20" w:rsidP="00181B20">
      <w:pPr>
        <w:pStyle w:val="Textoindependiente"/>
        <w:numPr>
          <w:ilvl w:val="0"/>
          <w:numId w:val="4"/>
        </w:numPr>
        <w:tabs>
          <w:tab w:val="clear" w:pos="720"/>
          <w:tab w:val="num" w:pos="360"/>
        </w:tabs>
        <w:autoSpaceDE w:val="0"/>
        <w:autoSpaceDN w:val="0"/>
        <w:adjustRightInd w:val="0"/>
        <w:spacing w:after="0" w:line="360" w:lineRule="auto"/>
        <w:ind w:left="357" w:hanging="357"/>
      </w:pPr>
      <w:r>
        <w:t xml:space="preserve">Los stocks contables de bienes no son cotejados con recuentos físicos. </w:t>
      </w:r>
    </w:p>
    <w:p w:rsidR="00181B20" w:rsidRDefault="00181B20" w:rsidP="00181B20">
      <w:pPr>
        <w:pStyle w:val="NormalWeb"/>
        <w:numPr>
          <w:ilvl w:val="0"/>
          <w:numId w:val="11"/>
        </w:numPr>
        <w:spacing w:before="0" w:after="0" w:line="360" w:lineRule="auto"/>
        <w:ind w:left="357" w:hanging="357"/>
        <w:jc w:val="both"/>
        <w:rPr>
          <w:rFonts w:ascii="Arial" w:hAnsi="Arial"/>
        </w:rPr>
      </w:pPr>
      <w:r>
        <w:rPr>
          <w:rFonts w:ascii="Arial" w:hAnsi="Arial"/>
        </w:rPr>
        <w:t>El sistema informático permite emitir órdenes de compra con fecha anterior a la fecha real de emisión y modificar los montos luego de emitidas.</w:t>
      </w:r>
    </w:p>
    <w:p w:rsidR="00181B20" w:rsidRDefault="00181B20" w:rsidP="00181B20">
      <w:pPr>
        <w:numPr>
          <w:ilvl w:val="0"/>
          <w:numId w:val="7"/>
        </w:numPr>
        <w:spacing w:line="360" w:lineRule="auto"/>
        <w:ind w:left="357" w:hanging="357"/>
        <w:jc w:val="both"/>
        <w:rPr>
          <w:lang w:val="es-MX"/>
        </w:rPr>
      </w:pPr>
      <w:r>
        <w:rPr>
          <w:lang w:val="es-MX"/>
        </w:rPr>
        <w:t>No se ha reglamentado lo dispuesto en el Artículo N° 5 de la Modificación Presupuestal del Ejercicio 2007, refere</w:t>
      </w:r>
      <w:r w:rsidR="00D861CE">
        <w:rPr>
          <w:lang w:val="es-MX"/>
        </w:rPr>
        <w:t>nte al registro de proveedores.</w:t>
      </w:r>
    </w:p>
    <w:p w:rsidR="00181B20" w:rsidRDefault="00181B20" w:rsidP="00181B20">
      <w:pPr>
        <w:numPr>
          <w:ilvl w:val="0"/>
          <w:numId w:val="8"/>
        </w:numPr>
        <w:spacing w:line="360" w:lineRule="auto"/>
        <w:ind w:left="357" w:hanging="357"/>
        <w:jc w:val="both"/>
        <w:rPr>
          <w:lang w:val="es-MX"/>
        </w:rPr>
      </w:pPr>
      <w:r>
        <w:rPr>
          <w:lang w:val="es-MX"/>
        </w:rPr>
        <w:t>Se realizaron compras de materiales a particulares, que carecen de documentación de respaldo.</w:t>
      </w:r>
    </w:p>
    <w:p w:rsidR="00181B20" w:rsidRDefault="00181B20" w:rsidP="00181B20">
      <w:pPr>
        <w:numPr>
          <w:ilvl w:val="0"/>
          <w:numId w:val="8"/>
        </w:numPr>
        <w:spacing w:line="360" w:lineRule="auto"/>
        <w:ind w:left="357" w:hanging="357"/>
        <w:jc w:val="both"/>
        <w:rPr>
          <w:lang w:val="es-MX"/>
        </w:rPr>
      </w:pPr>
      <w:r>
        <w:rPr>
          <w:lang w:val="es-MX"/>
        </w:rPr>
        <w:t xml:space="preserve">No se utiliza un único número </w:t>
      </w:r>
      <w:proofErr w:type="spellStart"/>
      <w:r>
        <w:rPr>
          <w:lang w:val="es-MX"/>
        </w:rPr>
        <w:t>identificatorio</w:t>
      </w:r>
      <w:proofErr w:type="spellEnd"/>
      <w:r>
        <w:rPr>
          <w:lang w:val="es-MX"/>
        </w:rPr>
        <w:t xml:space="preserve"> de los proveedores. Tal situación dificulta la realización de controles tales </w:t>
      </w:r>
      <w:r w:rsidR="00D861CE">
        <w:rPr>
          <w:lang w:val="es-MX"/>
        </w:rPr>
        <w:t>como la conciliación de deudas.</w:t>
      </w:r>
    </w:p>
    <w:p w:rsidR="00181B20" w:rsidRDefault="00181B20" w:rsidP="00181B20">
      <w:pPr>
        <w:numPr>
          <w:ilvl w:val="0"/>
          <w:numId w:val="9"/>
        </w:numPr>
        <w:spacing w:line="360" w:lineRule="auto"/>
        <w:ind w:left="357" w:hanging="357"/>
        <w:jc w:val="both"/>
        <w:rPr>
          <w:lang w:val="es-MX"/>
        </w:rPr>
      </w:pPr>
      <w:r>
        <w:rPr>
          <w:lang w:val="es-MX"/>
        </w:rPr>
        <w:t>No se controla que los proveedores se encuentren al día con sus obligaciones ante BPS y DGI.</w:t>
      </w:r>
    </w:p>
    <w:p w:rsidR="00181B20" w:rsidRDefault="00181B20" w:rsidP="00181B20">
      <w:pPr>
        <w:numPr>
          <w:ilvl w:val="0"/>
          <w:numId w:val="10"/>
        </w:numPr>
        <w:spacing w:line="360" w:lineRule="auto"/>
        <w:ind w:left="357" w:hanging="357"/>
        <w:jc w:val="both"/>
        <w:rPr>
          <w:lang w:val="es-MX"/>
        </w:rPr>
      </w:pPr>
      <w:r>
        <w:rPr>
          <w:lang w:val="es-MX"/>
        </w:rPr>
        <w:t>No se realizan conciliaciones de saldos con proveedores en forma periódica.</w:t>
      </w:r>
    </w:p>
    <w:p w:rsidR="00181B20" w:rsidRDefault="00181B20" w:rsidP="00181B20">
      <w:pPr>
        <w:numPr>
          <w:ilvl w:val="0"/>
          <w:numId w:val="10"/>
        </w:numPr>
        <w:spacing w:line="360" w:lineRule="auto"/>
        <w:ind w:left="357" w:hanging="357"/>
        <w:jc w:val="both"/>
        <w:rPr>
          <w:lang w:val="es-MX"/>
        </w:rPr>
      </w:pPr>
      <w:r>
        <w:rPr>
          <w:lang w:val="es-MX"/>
        </w:rPr>
        <w:t xml:space="preserve">No se establecieron en los </w:t>
      </w:r>
      <w:r>
        <w:rPr>
          <w:snapToGrid w:val="0"/>
        </w:rPr>
        <w:t>pliegos de condiciones particulares los factores que se tendrían en cuenta para evaluar las ofertas, ni la ponderación para cada uno de ellos a efectos de otorgar l</w:t>
      </w:r>
      <w:r w:rsidR="00D861CE">
        <w:rPr>
          <w:snapToGrid w:val="0"/>
        </w:rPr>
        <w:t>a calificación correspondiente.</w:t>
      </w:r>
    </w:p>
    <w:p w:rsidR="00181B20" w:rsidRDefault="00181B20" w:rsidP="00181B20">
      <w:pPr>
        <w:numPr>
          <w:ilvl w:val="0"/>
          <w:numId w:val="10"/>
        </w:numPr>
        <w:spacing w:line="360" w:lineRule="auto"/>
        <w:ind w:left="357" w:hanging="357"/>
        <w:jc w:val="both"/>
        <w:rPr>
          <w:lang w:val="es-MX"/>
        </w:rPr>
      </w:pPr>
      <w:r>
        <w:rPr>
          <w:snapToGrid w:val="0"/>
        </w:rPr>
        <w:t>No se dio cumplimiento en todas las licitaciones abreviadas a lo establecido en los pliegos de condiciones particulares en lo que respecta a plazos para la entrega de suministros y retenciones de garantías de cumplimiento de contratos.</w:t>
      </w:r>
    </w:p>
    <w:p w:rsidR="00181B20" w:rsidRDefault="00181B20" w:rsidP="00181B20">
      <w:pPr>
        <w:numPr>
          <w:ilvl w:val="0"/>
          <w:numId w:val="10"/>
        </w:numPr>
        <w:spacing w:line="360" w:lineRule="auto"/>
        <w:ind w:left="357" w:hanging="357"/>
        <w:jc w:val="both"/>
        <w:rPr>
          <w:lang w:val="es-MX"/>
        </w:rPr>
      </w:pPr>
      <w:r>
        <w:rPr>
          <w:lang w:val="es-MX"/>
        </w:rPr>
        <w:t xml:space="preserve">El procedimiento establecido para las compras de gas </w:t>
      </w:r>
      <w:proofErr w:type="spellStart"/>
      <w:r>
        <w:rPr>
          <w:lang w:val="es-MX"/>
        </w:rPr>
        <w:t>oil</w:t>
      </w:r>
      <w:proofErr w:type="spellEnd"/>
      <w:r>
        <w:rPr>
          <w:lang w:val="es-MX"/>
        </w:rPr>
        <w:t xml:space="preserve"> a ANCAP no permite verificar la disponibilidad presupuestal al momento del pago de las facturas.</w:t>
      </w:r>
    </w:p>
    <w:p w:rsidR="00181B20" w:rsidRDefault="00181B20" w:rsidP="00181B20">
      <w:pPr>
        <w:numPr>
          <w:ilvl w:val="0"/>
          <w:numId w:val="10"/>
        </w:numPr>
        <w:spacing w:line="360" w:lineRule="auto"/>
        <w:ind w:left="357" w:hanging="357"/>
        <w:jc w:val="both"/>
        <w:rPr>
          <w:lang w:val="es-MX"/>
        </w:rPr>
      </w:pPr>
      <w:r>
        <w:rPr>
          <w:color w:val="000000"/>
        </w:rPr>
        <w:t>No se publicó en el sitio Web de Compras y Contrataciones Estatales la información correspondiente a la totalidad de las licitaciones realizadas.</w:t>
      </w:r>
    </w:p>
    <w:p w:rsidR="00181B20" w:rsidRDefault="00181B20" w:rsidP="00181B20">
      <w:pPr>
        <w:spacing w:line="360" w:lineRule="auto"/>
        <w:ind w:left="357"/>
        <w:jc w:val="both"/>
        <w:rPr>
          <w:lang w:val="es-MX"/>
        </w:rPr>
      </w:pPr>
    </w:p>
    <w:p w:rsidR="00181B20" w:rsidRDefault="00181B20" w:rsidP="00181B20">
      <w:pPr>
        <w:pStyle w:val="Ttulo2"/>
        <w:spacing w:after="0"/>
      </w:pPr>
      <w:bookmarkStart w:id="17" w:name="_Toc307325661"/>
      <w:r>
        <w:t>3.4 Recomendaciones</w:t>
      </w:r>
      <w:bookmarkEnd w:id="17"/>
    </w:p>
    <w:p w:rsidR="00181B20" w:rsidRDefault="00181B20" w:rsidP="00181B20">
      <w:pPr>
        <w:pStyle w:val="Textoindependiente"/>
        <w:spacing w:after="0"/>
        <w:rPr>
          <w:lang w:val="es-ES"/>
        </w:rPr>
      </w:pPr>
    </w:p>
    <w:p w:rsidR="00181B20" w:rsidRDefault="00181B20" w:rsidP="00181B20">
      <w:pPr>
        <w:pStyle w:val="Textoindependiente"/>
        <w:spacing w:after="0" w:line="360" w:lineRule="auto"/>
        <w:rPr>
          <w:b/>
          <w:lang w:val="es-ES"/>
        </w:rPr>
      </w:pPr>
      <w:r>
        <w:rPr>
          <w:b/>
          <w:lang w:val="es-ES"/>
        </w:rPr>
        <w:t>3.4.1 Recomendaciones del Ejercicio anterior cumplidas</w:t>
      </w:r>
    </w:p>
    <w:p w:rsidR="00181B20" w:rsidRDefault="00181B20" w:rsidP="00181B20">
      <w:pPr>
        <w:pStyle w:val="Textoindependiente"/>
        <w:spacing w:after="0" w:line="360" w:lineRule="auto"/>
        <w:jc w:val="center"/>
        <w:rPr>
          <w:b/>
          <w:lang w:val="es-ES"/>
        </w:rPr>
      </w:pPr>
    </w:p>
    <w:p w:rsidR="00181B20" w:rsidRDefault="00181B20" w:rsidP="00181B20">
      <w:pPr>
        <w:pStyle w:val="Ttulo2"/>
        <w:spacing w:after="0"/>
        <w:rPr>
          <w:szCs w:val="24"/>
        </w:rPr>
      </w:pPr>
      <w:r>
        <w:rPr>
          <w:szCs w:val="24"/>
        </w:rPr>
        <w:t>3.4.1.1 Trasposiciones de objetos:</w:t>
      </w:r>
    </w:p>
    <w:p w:rsidR="00181B20" w:rsidRDefault="00181B20" w:rsidP="00181B20">
      <w:pPr>
        <w:pStyle w:val="Ttulo2"/>
        <w:spacing w:after="0"/>
        <w:jc w:val="both"/>
        <w:rPr>
          <w:b w:val="0"/>
        </w:rPr>
      </w:pPr>
      <w:r>
        <w:rPr>
          <w:b w:val="0"/>
        </w:rPr>
        <w:t>Las trasposiciones de objetos son comunicadas al Tribunal de Cuentas.</w:t>
      </w:r>
    </w:p>
    <w:p w:rsidR="00181B20" w:rsidRDefault="00181B20" w:rsidP="00181B20">
      <w:pPr>
        <w:pStyle w:val="Textoindependiente"/>
        <w:spacing w:after="0"/>
        <w:rPr>
          <w:lang w:val="es-ES"/>
        </w:rPr>
      </w:pPr>
    </w:p>
    <w:p w:rsidR="00181B20" w:rsidRDefault="00181B20" w:rsidP="00181B20">
      <w:pPr>
        <w:pStyle w:val="Ttulo2"/>
        <w:spacing w:after="0"/>
      </w:pPr>
      <w:bookmarkStart w:id="18" w:name="_Toc307325667"/>
      <w:r>
        <w:t>3.4.2 Recomendaciones del Ejercicio anterior no cumplidas</w:t>
      </w:r>
      <w:bookmarkEnd w:id="18"/>
    </w:p>
    <w:p w:rsidR="00181B20" w:rsidRDefault="00181B20" w:rsidP="00181B20">
      <w:pPr>
        <w:pStyle w:val="Ttulo2"/>
        <w:spacing w:after="0"/>
      </w:pPr>
      <w:r>
        <w:tab/>
      </w:r>
    </w:p>
    <w:p w:rsidR="00181B20" w:rsidRDefault="00181B20" w:rsidP="00181B20">
      <w:pPr>
        <w:pStyle w:val="Ttulo2"/>
        <w:spacing w:after="0"/>
      </w:pPr>
      <w:bookmarkStart w:id="19" w:name="_Toc307325668"/>
      <w:r>
        <w:t>3.4.2.1 Registro de Bienes de Uso</w:t>
      </w:r>
      <w:bookmarkEnd w:id="19"/>
      <w:r>
        <w:t>:</w:t>
      </w:r>
    </w:p>
    <w:p w:rsidR="00181B20" w:rsidRDefault="00181B20" w:rsidP="00181B20">
      <w:pPr>
        <w:pStyle w:val="Textoindependiente"/>
        <w:spacing w:after="0" w:line="360" w:lineRule="auto"/>
      </w:pPr>
      <w:r>
        <w:t>La Intendencia presenta exclusivamente un detalle de los bienes adquiridos en el Ejercicio 2013. De acuerdo a lo establecido en el Artículo 97 del TOCAF, deberá mantener un registro permanente de todos los bienes de uso que integran el patrimonio de la Comuna.</w:t>
      </w:r>
    </w:p>
    <w:p w:rsidR="00181B20" w:rsidRDefault="00181B20" w:rsidP="00181B20">
      <w:pPr>
        <w:pStyle w:val="Textoindependiente"/>
        <w:spacing w:after="0" w:line="360" w:lineRule="auto"/>
      </w:pPr>
    </w:p>
    <w:p w:rsidR="00181B20" w:rsidRDefault="00181B20" w:rsidP="00181B20">
      <w:pPr>
        <w:pStyle w:val="Ttulo2"/>
        <w:spacing w:after="0"/>
      </w:pPr>
      <w:bookmarkStart w:id="20" w:name="_Toc307325669"/>
      <w:r>
        <w:t>3.4.2.2 Excesos de Gastos</w:t>
      </w:r>
      <w:bookmarkEnd w:id="20"/>
      <w:r>
        <w:t>:</w:t>
      </w:r>
    </w:p>
    <w:p w:rsidR="00181B20" w:rsidRDefault="00181B20" w:rsidP="00181B20">
      <w:pPr>
        <w:autoSpaceDE w:val="0"/>
        <w:autoSpaceDN w:val="0"/>
        <w:adjustRightInd w:val="0"/>
        <w:spacing w:line="360" w:lineRule="auto"/>
        <w:jc w:val="both"/>
        <w:rPr>
          <w:color w:val="000000"/>
        </w:rPr>
      </w:pPr>
      <w:r>
        <w:rPr>
          <w:color w:val="000000"/>
        </w:rPr>
        <w:t>No deberán comprometerse gastos sin que exista crédito presupuestal disponible en los objetos de gastos respectivos, salvo las excepciones taxativamente establecidas.</w:t>
      </w:r>
    </w:p>
    <w:p w:rsidR="00181B20" w:rsidRDefault="00181B20" w:rsidP="00181B20">
      <w:pPr>
        <w:autoSpaceDE w:val="0"/>
        <w:autoSpaceDN w:val="0"/>
        <w:adjustRightInd w:val="0"/>
        <w:spacing w:line="360" w:lineRule="auto"/>
        <w:jc w:val="both"/>
        <w:rPr>
          <w:color w:val="000000"/>
        </w:rPr>
      </w:pPr>
    </w:p>
    <w:p w:rsidR="00181B20" w:rsidRDefault="00181B20" w:rsidP="00181B20">
      <w:pPr>
        <w:pStyle w:val="Ttulo2"/>
        <w:spacing w:after="0"/>
      </w:pPr>
      <w:bookmarkStart w:id="21" w:name="_Toc307325670"/>
      <w:r>
        <w:t>3.4.2.3 Artículo 32 de la Ley Nº 11.923</w:t>
      </w:r>
      <w:bookmarkEnd w:id="21"/>
      <w:r>
        <w:t>:</w:t>
      </w:r>
    </w:p>
    <w:p w:rsidR="00181B20" w:rsidRDefault="00181B20" w:rsidP="00181B20">
      <w:pPr>
        <w:pStyle w:val="Textoindependiente"/>
        <w:spacing w:after="0" w:line="360" w:lineRule="auto"/>
      </w:pPr>
      <w:r>
        <w:t>Con la finalidad de dar cumplimiento al artículo 32 de la Ley N° 11.923 de 27/03/53, la Comuna debe verificar y adoptar las medidas necesarias de manera tal que las personas contratadas no desempeñen otros empleos públicos rentados, cumpliendo con lo dispuesto por las normas legales.</w:t>
      </w:r>
    </w:p>
    <w:p w:rsidR="00181B20" w:rsidRDefault="00181B20" w:rsidP="00181B20">
      <w:pPr>
        <w:pStyle w:val="Textoindependiente"/>
        <w:spacing w:after="0" w:line="360" w:lineRule="auto"/>
      </w:pPr>
    </w:p>
    <w:p w:rsidR="00181B20" w:rsidRDefault="00181B20" w:rsidP="00181B20">
      <w:pPr>
        <w:pStyle w:val="Ttulo2"/>
        <w:spacing w:after="0"/>
      </w:pPr>
      <w:bookmarkStart w:id="22" w:name="_Toc307325671"/>
      <w:r>
        <w:t>3.4.2.4 Contratos de concesiones</w:t>
      </w:r>
      <w:bookmarkEnd w:id="22"/>
      <w:r>
        <w:t xml:space="preserve">: </w:t>
      </w:r>
    </w:p>
    <w:p w:rsidR="00181B20" w:rsidRDefault="00181B20" w:rsidP="00181B20">
      <w:pPr>
        <w:pStyle w:val="Textoindependiente"/>
        <w:spacing w:line="360" w:lineRule="auto"/>
      </w:pPr>
      <w:r>
        <w:t>Se deben comunicar a este Cuerpo antes del 31 de enero y del 31 de julio de cada año, los informes correspondientes al semestre anterior producidos por</w:t>
      </w:r>
      <w:r>
        <w:rPr>
          <w:shd w:val="clear" w:color="auto" w:fill="92D050"/>
        </w:rPr>
        <w:t xml:space="preserve"> </w:t>
      </w:r>
      <w:r>
        <w:t>las Comisiones de Control u Oficinas que tengan a su cargo la verificación del cumplimiento de lo</w:t>
      </w:r>
      <w:r w:rsidR="00D861CE">
        <w:t>s contratos correspondientes.</w:t>
      </w:r>
    </w:p>
    <w:p w:rsidR="00181B20" w:rsidRDefault="00181B20" w:rsidP="00181B20">
      <w:pPr>
        <w:pStyle w:val="Ttulo2"/>
        <w:spacing w:after="0"/>
      </w:pPr>
      <w:bookmarkStart w:id="23" w:name="_Toc307325672"/>
      <w:r>
        <w:t>3.4.2.5 Compendio de normas</w:t>
      </w:r>
      <w:bookmarkEnd w:id="23"/>
      <w:r>
        <w:t xml:space="preserve">: </w:t>
      </w:r>
    </w:p>
    <w:p w:rsidR="00181B20" w:rsidRDefault="00181B20" w:rsidP="00181B20">
      <w:pPr>
        <w:pStyle w:val="Textoindependiente"/>
        <w:spacing w:after="0" w:line="360" w:lineRule="auto"/>
      </w:pPr>
      <w:r>
        <w:t xml:space="preserve">Deberá mantenerse actualizado un compendio normativo de la totalidad de las partidas de carácter salarial abonadas a los funcionarios. También deberá actualizarse el Digesto incluyendo la totalidad de las </w:t>
      </w:r>
      <w:r w:rsidR="00D83978">
        <w:t>normas tributarias vigentes.</w:t>
      </w:r>
    </w:p>
    <w:p w:rsidR="00181B20" w:rsidRDefault="00181B20" w:rsidP="00181B20">
      <w:pPr>
        <w:pStyle w:val="Textoindependiente"/>
        <w:spacing w:after="0" w:line="360" w:lineRule="auto"/>
      </w:pPr>
    </w:p>
    <w:p w:rsidR="00181B20" w:rsidRDefault="00181B20" w:rsidP="00181B20">
      <w:pPr>
        <w:pStyle w:val="Ttulo2"/>
        <w:spacing w:after="0"/>
      </w:pPr>
      <w:bookmarkStart w:id="24" w:name="_Toc307325673"/>
      <w:r>
        <w:t>3.4.2.6 Depósito de la recaudación</w:t>
      </w:r>
      <w:bookmarkEnd w:id="24"/>
      <w:r>
        <w:t>:</w:t>
      </w:r>
    </w:p>
    <w:p w:rsidR="00181B20" w:rsidRDefault="00181B20" w:rsidP="00181B20">
      <w:pPr>
        <w:autoSpaceDE w:val="0"/>
        <w:autoSpaceDN w:val="0"/>
        <w:adjustRightInd w:val="0"/>
        <w:spacing w:line="360" w:lineRule="auto"/>
        <w:jc w:val="both"/>
        <w:rPr>
          <w:color w:val="000000"/>
        </w:rPr>
      </w:pPr>
      <w:r>
        <w:rPr>
          <w:color w:val="000000"/>
        </w:rPr>
        <w:t>Los depósitos bancarios deberán realizarse por la totalidad de la recaudación. A efectos de un adecuado manejo de fondos es aconsejable que los pagos se realicen con cheques o por fondos permanentes, y que las transferencias de dinero hacia y desde las Juntas Locales y Municipios se realicen a través del Banco.</w:t>
      </w:r>
    </w:p>
    <w:p w:rsidR="00181B20" w:rsidRDefault="00181B20" w:rsidP="00181B20">
      <w:pPr>
        <w:autoSpaceDE w:val="0"/>
        <w:autoSpaceDN w:val="0"/>
        <w:adjustRightInd w:val="0"/>
        <w:spacing w:line="360" w:lineRule="auto"/>
        <w:jc w:val="both"/>
        <w:rPr>
          <w:color w:val="000000"/>
        </w:rPr>
      </w:pPr>
    </w:p>
    <w:p w:rsidR="00181B20" w:rsidRDefault="00181B20" w:rsidP="00181B20">
      <w:pPr>
        <w:pStyle w:val="Ttulo2"/>
        <w:spacing w:after="0"/>
      </w:pPr>
      <w:bookmarkStart w:id="25" w:name="_Toc307325674"/>
      <w:r>
        <w:t>3.4.2.7 Controles sobre la recaudación y documentación de camping</w:t>
      </w:r>
      <w:bookmarkEnd w:id="25"/>
      <w:r>
        <w:t>:</w:t>
      </w:r>
    </w:p>
    <w:p w:rsidR="00181B20" w:rsidRDefault="00181B20" w:rsidP="00181B20">
      <w:pPr>
        <w:pStyle w:val="Textoindependiente"/>
        <w:spacing w:after="0" w:line="360" w:lineRule="auto"/>
      </w:pPr>
      <w:r>
        <w:t xml:space="preserve">La recaudación y la correspondiente documentación de servicios de camping </w:t>
      </w:r>
      <w:proofErr w:type="gramStart"/>
      <w:r>
        <w:t>deberá</w:t>
      </w:r>
      <w:proofErr w:type="gramEnd"/>
      <w:r>
        <w:t xml:space="preserve"> ser controlada por personal ajeno al servicio.</w:t>
      </w:r>
    </w:p>
    <w:p w:rsidR="00181B20" w:rsidRDefault="00181B20" w:rsidP="00181B20">
      <w:pPr>
        <w:pStyle w:val="Textoindependiente"/>
        <w:spacing w:after="0" w:line="360" w:lineRule="auto"/>
      </w:pPr>
    </w:p>
    <w:p w:rsidR="00D83978" w:rsidRDefault="00D83978" w:rsidP="00181B20">
      <w:pPr>
        <w:pStyle w:val="Textoindependiente"/>
        <w:spacing w:after="0" w:line="360" w:lineRule="auto"/>
      </w:pPr>
    </w:p>
    <w:p w:rsidR="00181B20" w:rsidRDefault="00181B20" w:rsidP="00181B20">
      <w:pPr>
        <w:pStyle w:val="Ttulo2"/>
        <w:spacing w:after="0"/>
      </w:pPr>
      <w:bookmarkStart w:id="26" w:name="_Toc307325675"/>
      <w:r>
        <w:t>3.4.2.8 Recuentos físicos</w:t>
      </w:r>
      <w:bookmarkEnd w:id="26"/>
      <w:r>
        <w:t>:</w:t>
      </w:r>
    </w:p>
    <w:p w:rsidR="00181B20" w:rsidRDefault="00181B20" w:rsidP="00181B20">
      <w:pPr>
        <w:autoSpaceDE w:val="0"/>
        <w:autoSpaceDN w:val="0"/>
        <w:adjustRightInd w:val="0"/>
        <w:spacing w:line="360" w:lineRule="auto"/>
        <w:jc w:val="both"/>
        <w:rPr>
          <w:color w:val="000000"/>
        </w:rPr>
      </w:pPr>
      <w:r>
        <w:rPr>
          <w:color w:val="000000"/>
        </w:rPr>
        <w:t>Deberán efectuarse recuentos físicos periódicos de aquellos bienes que se mantienen en stock. Dichos recuentos deberán ser cotejados con los stocks contables y, eventualmente, deberían formularse los ajustes correspondientes.</w:t>
      </w:r>
    </w:p>
    <w:p w:rsidR="00181B20" w:rsidRDefault="00181B20" w:rsidP="00181B20">
      <w:pPr>
        <w:autoSpaceDE w:val="0"/>
        <w:autoSpaceDN w:val="0"/>
        <w:adjustRightInd w:val="0"/>
        <w:spacing w:line="360" w:lineRule="auto"/>
        <w:jc w:val="both"/>
        <w:rPr>
          <w:color w:val="000000"/>
        </w:rPr>
      </w:pPr>
      <w:r>
        <w:rPr>
          <w:color w:val="000000"/>
        </w:rPr>
        <w:t xml:space="preserve"> </w:t>
      </w:r>
    </w:p>
    <w:p w:rsidR="00181B20" w:rsidRDefault="00181B20" w:rsidP="00181B20">
      <w:pPr>
        <w:pStyle w:val="Ttulo2"/>
        <w:spacing w:after="0"/>
      </w:pPr>
      <w:bookmarkStart w:id="27" w:name="_Toc307325676"/>
      <w:r>
        <w:t>3.4.2.9 Registro de proveedores</w:t>
      </w:r>
      <w:bookmarkEnd w:id="27"/>
      <w:r>
        <w:t>:</w:t>
      </w:r>
    </w:p>
    <w:p w:rsidR="00181B20" w:rsidRDefault="00181B20" w:rsidP="00181B20">
      <w:pPr>
        <w:autoSpaceDE w:val="0"/>
        <w:autoSpaceDN w:val="0"/>
        <w:adjustRightInd w:val="0"/>
        <w:spacing w:line="360" w:lineRule="auto"/>
        <w:jc w:val="both"/>
        <w:rPr>
          <w:color w:val="000000"/>
        </w:rPr>
      </w:pPr>
      <w:r>
        <w:rPr>
          <w:color w:val="000000"/>
        </w:rPr>
        <w:t>Deberá mantenerse una base de datos actualizada de los proveedores con los que contrata la Comuna, exigiéndoles a éstos la documentación relativa al cumplimiento de sus obligaciones con el Banco de Previsión Social y la Dirección General Impositiva.</w:t>
      </w:r>
    </w:p>
    <w:p w:rsidR="00181B20" w:rsidRDefault="00181B20" w:rsidP="00181B20">
      <w:pPr>
        <w:autoSpaceDE w:val="0"/>
        <w:autoSpaceDN w:val="0"/>
        <w:adjustRightInd w:val="0"/>
        <w:spacing w:line="360" w:lineRule="auto"/>
        <w:jc w:val="both"/>
        <w:rPr>
          <w:color w:val="000000"/>
        </w:rPr>
      </w:pPr>
    </w:p>
    <w:p w:rsidR="00181B20" w:rsidRDefault="00181B20" w:rsidP="00181B20">
      <w:pPr>
        <w:pStyle w:val="Ttulo2"/>
        <w:spacing w:after="0"/>
      </w:pPr>
      <w:bookmarkStart w:id="28" w:name="_Toc307325677"/>
      <w:r>
        <w:t>3.4.2.10 Control sobre tope de horas extras</w:t>
      </w:r>
      <w:bookmarkEnd w:id="28"/>
      <w:r>
        <w:t>:</w:t>
      </w:r>
    </w:p>
    <w:p w:rsidR="00181B20" w:rsidRDefault="00181B20" w:rsidP="00181B20">
      <w:pPr>
        <w:pStyle w:val="Textoindependiente"/>
        <w:spacing w:after="0" w:line="360" w:lineRule="auto"/>
      </w:pPr>
      <w:r>
        <w:t>La Comuna deberá considerar lo establecido en el Convenio Nº 30 de la OIT en cuanto a la cantidad de horas extras realizadas.</w:t>
      </w:r>
    </w:p>
    <w:p w:rsidR="00181B20" w:rsidRDefault="00181B20" w:rsidP="00181B20">
      <w:pPr>
        <w:pStyle w:val="Textoindependiente"/>
        <w:spacing w:after="0" w:line="360" w:lineRule="auto"/>
      </w:pPr>
    </w:p>
    <w:p w:rsidR="00181B20" w:rsidRDefault="00181B20" w:rsidP="00181B20">
      <w:pPr>
        <w:pStyle w:val="Ttulo2"/>
        <w:spacing w:after="0"/>
      </w:pPr>
      <w:bookmarkStart w:id="29" w:name="_Toc307325678"/>
      <w:r>
        <w:t>3.4.2.11 Planificación de las compras del Ejercicio</w:t>
      </w:r>
      <w:bookmarkEnd w:id="29"/>
      <w:r>
        <w:t>:</w:t>
      </w:r>
    </w:p>
    <w:p w:rsidR="00181B20" w:rsidRDefault="00181B20" w:rsidP="00181B20">
      <w:pPr>
        <w:pStyle w:val="Textoindependiente"/>
        <w:spacing w:after="0" w:line="360" w:lineRule="auto"/>
      </w:pPr>
      <w:r>
        <w:t>Se sugiere que las compras y contrataciones a realizar sean planificadas para todo el Ejercicio por grupos de artículos o servicios. Además, a fin de cumplir con lo establecido por el Artículo 33 del TOCAF, se deberá realizar el procedimiento de contratación de acuerdo al monto de la adquisición a efectuar.</w:t>
      </w:r>
    </w:p>
    <w:p w:rsidR="00181B20" w:rsidRDefault="00181B20" w:rsidP="00181B20">
      <w:pPr>
        <w:pStyle w:val="Textoindependiente"/>
        <w:spacing w:after="0" w:line="360" w:lineRule="auto"/>
      </w:pPr>
    </w:p>
    <w:p w:rsidR="00181B20" w:rsidRDefault="00181B20" w:rsidP="00181B20">
      <w:pPr>
        <w:pStyle w:val="Ttulo2"/>
        <w:spacing w:after="0"/>
      </w:pPr>
      <w:bookmarkStart w:id="30" w:name="_Toc307325680"/>
      <w:r>
        <w:t>3.4.2.12 Movimiento de Fondos y Valores</w:t>
      </w:r>
      <w:bookmarkEnd w:id="30"/>
      <w:r>
        <w:t>:</w:t>
      </w:r>
    </w:p>
    <w:p w:rsidR="00181B20" w:rsidRDefault="00181B20" w:rsidP="00D83978">
      <w:pPr>
        <w:pStyle w:val="Textoindependiente3"/>
        <w:jc w:val="both"/>
      </w:pPr>
      <w:r>
        <w:t xml:space="preserve">El estado de movimiento de fondos y valores deberá reflejar la totalidad de los ingresos y egresos producidos en el Ejercicio por concepto de fondos presupuestales, </w:t>
      </w:r>
      <w:proofErr w:type="spellStart"/>
      <w:r>
        <w:t>extrapresupuestales</w:t>
      </w:r>
      <w:proofErr w:type="spellEnd"/>
      <w:r>
        <w:t>, indisponibles y financieros. Asimismo, dichos ingresos y egresos deberán coincidir con los incluidos en los restantes estados del documento.</w:t>
      </w:r>
    </w:p>
    <w:p w:rsidR="00181B20" w:rsidRDefault="00181B20" w:rsidP="00181B20">
      <w:pPr>
        <w:pStyle w:val="Textoindependiente3"/>
        <w:rPr>
          <w:b/>
          <w:lang w:val="es-ES_tradnl"/>
        </w:rPr>
      </w:pPr>
    </w:p>
    <w:p w:rsidR="00D83978" w:rsidRDefault="00D83978" w:rsidP="00181B20">
      <w:pPr>
        <w:pStyle w:val="Textoindependiente3"/>
        <w:rPr>
          <w:b/>
          <w:lang w:val="es-ES_tradnl"/>
        </w:rPr>
      </w:pPr>
    </w:p>
    <w:p w:rsidR="00181B20" w:rsidRDefault="00181B20" w:rsidP="00181B20">
      <w:pPr>
        <w:pStyle w:val="Ttulo2"/>
        <w:widowControl w:val="0"/>
        <w:spacing w:after="0"/>
        <w:jc w:val="both"/>
        <w:rPr>
          <w:b w:val="0"/>
        </w:rPr>
      </w:pPr>
      <w:bookmarkStart w:id="31" w:name="_Toc307325683"/>
      <w:r>
        <w:t>3.4.2.13 Fondo de Promoción Social</w:t>
      </w:r>
      <w:bookmarkEnd w:id="31"/>
      <w:r>
        <w:t>:</w:t>
      </w:r>
    </w:p>
    <w:p w:rsidR="00181B20" w:rsidRDefault="00181B20" w:rsidP="00181B20">
      <w:pPr>
        <w:autoSpaceDE w:val="0"/>
        <w:autoSpaceDN w:val="0"/>
        <w:adjustRightInd w:val="0"/>
        <w:spacing w:line="360" w:lineRule="auto"/>
        <w:jc w:val="both"/>
        <w:rPr>
          <w:color w:val="000000"/>
        </w:rPr>
      </w:pPr>
      <w:r>
        <w:rPr>
          <w:color w:val="000000"/>
        </w:rPr>
        <w:t>Deberá verificarse en forma periódica que los funcionarios amparados al Fondo de Promoción Social tengan derecho de pertenecer al mismo. Asimismo,</w:t>
      </w:r>
      <w:r>
        <w:rPr>
          <w:color w:val="000000"/>
          <w:shd w:val="clear" w:color="auto" w:fill="92D050"/>
        </w:rPr>
        <w:t xml:space="preserve"> </w:t>
      </w:r>
      <w:r>
        <w:rPr>
          <w:color w:val="000000"/>
        </w:rPr>
        <w:t>deberá controlarse que se realicen en tiempo y forma los aportes</w:t>
      </w:r>
      <w:r>
        <w:rPr>
          <w:color w:val="000000"/>
          <w:shd w:val="clear" w:color="auto" w:fill="92D050"/>
        </w:rPr>
        <w:t xml:space="preserve"> </w:t>
      </w:r>
      <w:r>
        <w:rPr>
          <w:color w:val="000000"/>
        </w:rPr>
        <w:t>correspondientes, a fin de evitar el pago de la cobertura médica a personas que</w:t>
      </w:r>
      <w:r>
        <w:rPr>
          <w:color w:val="000000"/>
          <w:shd w:val="clear" w:color="auto" w:fill="92D050"/>
        </w:rPr>
        <w:t xml:space="preserve"> </w:t>
      </w:r>
      <w:r>
        <w:rPr>
          <w:color w:val="000000"/>
        </w:rPr>
        <w:t>no han cumplido con las obligaciones antedichas.</w:t>
      </w:r>
    </w:p>
    <w:p w:rsidR="00181B20" w:rsidRDefault="00181B20" w:rsidP="00181B20">
      <w:pPr>
        <w:autoSpaceDE w:val="0"/>
        <w:autoSpaceDN w:val="0"/>
        <w:adjustRightInd w:val="0"/>
        <w:spacing w:line="360" w:lineRule="auto"/>
        <w:jc w:val="both"/>
        <w:rPr>
          <w:color w:val="000000"/>
        </w:rPr>
      </w:pPr>
    </w:p>
    <w:p w:rsidR="00181B20" w:rsidRDefault="00181B20" w:rsidP="00181B20">
      <w:pPr>
        <w:pStyle w:val="Ttulo2"/>
        <w:widowControl w:val="0"/>
        <w:spacing w:after="0"/>
        <w:jc w:val="both"/>
      </w:pPr>
      <w:r>
        <w:t>3.4.2.14 Conciliación de saldos con proveedores:</w:t>
      </w:r>
    </w:p>
    <w:p w:rsidR="00181B20" w:rsidRDefault="00181B20" w:rsidP="00181B20">
      <w:pPr>
        <w:autoSpaceDE w:val="0"/>
        <w:autoSpaceDN w:val="0"/>
        <w:adjustRightInd w:val="0"/>
        <w:spacing w:line="360" w:lineRule="auto"/>
        <w:jc w:val="both"/>
        <w:rPr>
          <w:color w:val="000000"/>
        </w:rPr>
      </w:pPr>
      <w:r>
        <w:rPr>
          <w:color w:val="000000"/>
        </w:rPr>
        <w:t>A efectos de profundizar los controles implementados deberán realizarse en forma periódica conciliaciones de saldos con los proveedores.</w:t>
      </w:r>
    </w:p>
    <w:p w:rsidR="00181B20" w:rsidRDefault="00181B20" w:rsidP="00181B20">
      <w:pPr>
        <w:autoSpaceDE w:val="0"/>
        <w:autoSpaceDN w:val="0"/>
        <w:adjustRightInd w:val="0"/>
        <w:spacing w:line="360" w:lineRule="auto"/>
        <w:jc w:val="both"/>
        <w:rPr>
          <w:color w:val="000000"/>
        </w:rPr>
      </w:pPr>
    </w:p>
    <w:p w:rsidR="00181B20" w:rsidRDefault="00181B20" w:rsidP="00181B20">
      <w:pPr>
        <w:pStyle w:val="Ttulo2"/>
        <w:widowControl w:val="0"/>
        <w:spacing w:after="0"/>
        <w:jc w:val="both"/>
      </w:pPr>
      <w:bookmarkStart w:id="32" w:name="_Toc307325687"/>
      <w:r>
        <w:t>3.4.2.15 Formalidades en los contratos:</w:t>
      </w:r>
    </w:p>
    <w:bookmarkEnd w:id="32"/>
    <w:p w:rsidR="00181B20" w:rsidRDefault="00181B20" w:rsidP="00181B20">
      <w:pPr>
        <w:autoSpaceDE w:val="0"/>
        <w:autoSpaceDN w:val="0"/>
        <w:adjustRightInd w:val="0"/>
        <w:spacing w:line="360" w:lineRule="auto"/>
        <w:jc w:val="both"/>
        <w:rPr>
          <w:color w:val="000000"/>
        </w:rPr>
      </w:pPr>
      <w:r>
        <w:rPr>
          <w:color w:val="000000"/>
        </w:rPr>
        <w:t>Deberá verificarse que, en forma previa a que proveedores o funcionarios comiencen a prestar servicios para la Intendencia, exista un contrato escrito donde se establezcan los derechos y obligaciones entre las partes.</w:t>
      </w:r>
    </w:p>
    <w:p w:rsidR="00181B20" w:rsidRDefault="00181B20" w:rsidP="00181B20">
      <w:pPr>
        <w:autoSpaceDE w:val="0"/>
        <w:autoSpaceDN w:val="0"/>
        <w:adjustRightInd w:val="0"/>
        <w:spacing w:line="360" w:lineRule="auto"/>
        <w:jc w:val="both"/>
        <w:rPr>
          <w:color w:val="000000"/>
        </w:rPr>
      </w:pPr>
    </w:p>
    <w:p w:rsidR="00181B20" w:rsidRDefault="00181B20" w:rsidP="00181B20">
      <w:pPr>
        <w:pStyle w:val="Ttulo2"/>
        <w:spacing w:after="0"/>
      </w:pPr>
      <w:bookmarkStart w:id="33" w:name="_Toc307325688"/>
      <w:r>
        <w:t>3.4.2.16 Garantías de cumplimiento de contratos</w:t>
      </w:r>
      <w:bookmarkEnd w:id="33"/>
      <w:r>
        <w:t>:</w:t>
      </w:r>
    </w:p>
    <w:p w:rsidR="00181B20" w:rsidRDefault="00181B20" w:rsidP="00181B20">
      <w:pPr>
        <w:autoSpaceDE w:val="0"/>
        <w:autoSpaceDN w:val="0"/>
        <w:adjustRightInd w:val="0"/>
        <w:spacing w:line="360" w:lineRule="auto"/>
        <w:jc w:val="both"/>
        <w:rPr>
          <w:color w:val="000000"/>
        </w:rPr>
      </w:pPr>
      <w:r>
        <w:rPr>
          <w:color w:val="000000"/>
        </w:rPr>
        <w:t>A efectos de dar cumplimiento a lo establecido en el Artículo 64 del TOCAF, deberá verificarse el cumplimiento de las disposiciones establecidas en materia de garantías de cumplimiento de contratos.</w:t>
      </w:r>
    </w:p>
    <w:p w:rsidR="00181B20" w:rsidRDefault="00181B20" w:rsidP="00181B20">
      <w:pPr>
        <w:autoSpaceDE w:val="0"/>
        <w:autoSpaceDN w:val="0"/>
        <w:adjustRightInd w:val="0"/>
        <w:spacing w:line="360" w:lineRule="auto"/>
        <w:jc w:val="both"/>
        <w:rPr>
          <w:color w:val="000000"/>
        </w:rPr>
      </w:pPr>
    </w:p>
    <w:p w:rsidR="00181B20" w:rsidRDefault="00181B20" w:rsidP="00181B20">
      <w:pPr>
        <w:pStyle w:val="Ttulo2"/>
        <w:spacing w:after="0"/>
      </w:pPr>
      <w:bookmarkStart w:id="34" w:name="_Toc307325689"/>
      <w:r>
        <w:t>3.4.2.17 Autorización de compras y gastos</w:t>
      </w:r>
      <w:bookmarkEnd w:id="34"/>
      <w:r>
        <w:t>:</w:t>
      </w:r>
    </w:p>
    <w:p w:rsidR="00181B20" w:rsidRDefault="00181B20" w:rsidP="00181B20">
      <w:pPr>
        <w:autoSpaceDE w:val="0"/>
        <w:autoSpaceDN w:val="0"/>
        <w:adjustRightInd w:val="0"/>
        <w:spacing w:line="360" w:lineRule="auto"/>
        <w:jc w:val="both"/>
        <w:rPr>
          <w:color w:val="000000"/>
        </w:rPr>
      </w:pPr>
      <w:r>
        <w:rPr>
          <w:color w:val="000000"/>
        </w:rPr>
        <w:t>La totalidad de las compras y gastos que se realicen, deberán estar debidamente autorizadas p</w:t>
      </w:r>
      <w:r w:rsidR="00D83978">
        <w:rPr>
          <w:color w:val="000000"/>
        </w:rPr>
        <w:t>or los ordenadores competentes.</w:t>
      </w:r>
    </w:p>
    <w:p w:rsidR="00181B20" w:rsidRDefault="00181B20" w:rsidP="00181B20">
      <w:pPr>
        <w:autoSpaceDE w:val="0"/>
        <w:autoSpaceDN w:val="0"/>
        <w:adjustRightInd w:val="0"/>
        <w:spacing w:line="360" w:lineRule="auto"/>
        <w:jc w:val="both"/>
        <w:rPr>
          <w:color w:val="000000"/>
        </w:rPr>
      </w:pPr>
    </w:p>
    <w:p w:rsidR="00181B20" w:rsidRDefault="00181B20" w:rsidP="00181B20">
      <w:pPr>
        <w:pStyle w:val="Ttulo2"/>
        <w:spacing w:after="0"/>
      </w:pPr>
      <w:bookmarkStart w:id="35" w:name="_Toc307325690"/>
      <w:r>
        <w:t>3.4.2.18 Orden de prelación para las retenciones de haberes</w:t>
      </w:r>
      <w:bookmarkEnd w:id="35"/>
      <w:r>
        <w:t>:</w:t>
      </w:r>
    </w:p>
    <w:p w:rsidR="00181B20" w:rsidRDefault="00181B20" w:rsidP="00181B20">
      <w:pPr>
        <w:autoSpaceDE w:val="0"/>
        <w:autoSpaceDN w:val="0"/>
        <w:adjustRightInd w:val="0"/>
        <w:spacing w:line="360" w:lineRule="auto"/>
        <w:jc w:val="both"/>
      </w:pPr>
      <w:r>
        <w:t>A efectos de dar cumplimiento a lo establecido en el Artículo 1 de la Ley         N° 17.829, deberá respetarse el orden de prioridades establecido en la norma para efectuar las retenciones sobre haberes.</w:t>
      </w:r>
    </w:p>
    <w:p w:rsidR="00181B20" w:rsidRDefault="00181B20" w:rsidP="00181B20">
      <w:pPr>
        <w:autoSpaceDE w:val="0"/>
        <w:autoSpaceDN w:val="0"/>
        <w:adjustRightInd w:val="0"/>
        <w:spacing w:line="360" w:lineRule="auto"/>
        <w:jc w:val="both"/>
        <w:rPr>
          <w:color w:val="000000"/>
        </w:rPr>
      </w:pPr>
    </w:p>
    <w:p w:rsidR="00181B20" w:rsidRDefault="00181B20" w:rsidP="00181B20">
      <w:pPr>
        <w:pStyle w:val="Ttulo2"/>
        <w:spacing w:after="0"/>
      </w:pPr>
      <w:bookmarkStart w:id="36" w:name="_Toc307325693"/>
      <w:r>
        <w:t>3.4.2.19 Caducidad de convenios</w:t>
      </w:r>
      <w:bookmarkEnd w:id="36"/>
      <w:r>
        <w:t>:</w:t>
      </w:r>
    </w:p>
    <w:p w:rsidR="00181B20" w:rsidRDefault="00181B20" w:rsidP="00181B20">
      <w:pPr>
        <w:widowControl w:val="0"/>
        <w:spacing w:line="360" w:lineRule="auto"/>
        <w:ind w:right="119"/>
        <w:jc w:val="both"/>
      </w:pPr>
      <w:r>
        <w:t xml:space="preserve">Deberá configurarse el sistema Tributos de forma tal que, ante incumplimiento en el pago dentro del plazo de las cuotas correspondientes a los convenios </w:t>
      </w:r>
      <w:proofErr w:type="spellStart"/>
      <w:r>
        <w:t>ó</w:t>
      </w:r>
      <w:proofErr w:type="spellEnd"/>
      <w:r>
        <w:t xml:space="preserve"> las cuotas corrientes de tributos convenidos, se produzca en forma automática la caducidad del convenio y se habilite la deuda original, con las multas y recargos correspondientes.</w:t>
      </w:r>
    </w:p>
    <w:p w:rsidR="00181B20" w:rsidRDefault="00181B20" w:rsidP="00181B20">
      <w:pPr>
        <w:widowControl w:val="0"/>
        <w:spacing w:line="360" w:lineRule="auto"/>
        <w:ind w:right="119"/>
        <w:jc w:val="both"/>
      </w:pPr>
    </w:p>
    <w:p w:rsidR="00181B20" w:rsidRPr="00D83978" w:rsidRDefault="00181B20" w:rsidP="00D83978">
      <w:pPr>
        <w:widowControl w:val="0"/>
        <w:spacing w:line="360" w:lineRule="auto"/>
        <w:ind w:right="119"/>
        <w:jc w:val="both"/>
        <w:rPr>
          <w:b/>
        </w:rPr>
      </w:pPr>
      <w:bookmarkStart w:id="37" w:name="_Toc307325694"/>
      <w:r w:rsidRPr="00D83978">
        <w:rPr>
          <w:b/>
        </w:rPr>
        <w:t>3.4.2.20 Ingreso de funcionarios por concurso</w:t>
      </w:r>
      <w:bookmarkEnd w:id="37"/>
      <w:r w:rsidRPr="00D83978">
        <w:rPr>
          <w:b/>
        </w:rPr>
        <w:t>:</w:t>
      </w:r>
    </w:p>
    <w:p w:rsidR="00181B20" w:rsidRDefault="00181B20" w:rsidP="00181B20">
      <w:pPr>
        <w:spacing w:line="360" w:lineRule="auto"/>
        <w:jc w:val="both"/>
      </w:pPr>
      <w:r>
        <w:t>Se deberán cumplir los procedimientos estipulados en el Estatuto del Funcionario en cuanto al ingreso a la Intendencia.</w:t>
      </w:r>
    </w:p>
    <w:p w:rsidR="00181B20" w:rsidRDefault="00181B20" w:rsidP="00181B20">
      <w:pPr>
        <w:spacing w:line="360" w:lineRule="auto"/>
        <w:jc w:val="both"/>
      </w:pPr>
    </w:p>
    <w:p w:rsidR="00181B20" w:rsidRDefault="00181B20" w:rsidP="00181B20">
      <w:pPr>
        <w:pStyle w:val="Ttulo2"/>
        <w:spacing w:after="0"/>
      </w:pPr>
      <w:bookmarkStart w:id="38" w:name="_Toc307325696"/>
      <w:r>
        <w:t>3.4.2.21 Ajustes al sistema informático</w:t>
      </w:r>
      <w:bookmarkEnd w:id="38"/>
      <w:r>
        <w:t>:</w:t>
      </w:r>
    </w:p>
    <w:p w:rsidR="00181B20" w:rsidRDefault="00181B20" w:rsidP="00181B20">
      <w:pPr>
        <w:spacing w:line="360" w:lineRule="auto"/>
        <w:jc w:val="both"/>
      </w:pPr>
      <w:r>
        <w:t>Deberán ajustarse los sistemas informáticos a los efectos de:</w:t>
      </w:r>
    </w:p>
    <w:p w:rsidR="00181B20" w:rsidRDefault="00181B20" w:rsidP="00181B20">
      <w:pPr>
        <w:spacing w:line="360" w:lineRule="auto"/>
        <w:jc w:val="both"/>
      </w:pPr>
      <w:r>
        <w:t>- evitar modificaciones en las órdenes de compra una vez que fueron emitidas.</w:t>
      </w:r>
    </w:p>
    <w:p w:rsidR="00181B20" w:rsidRDefault="00181B20" w:rsidP="00181B20">
      <w:pPr>
        <w:spacing w:line="360" w:lineRule="auto"/>
        <w:jc w:val="both"/>
      </w:pPr>
      <w:r>
        <w:t>- que los montos ejecutados pagados e impagos sean los correctos.</w:t>
      </w:r>
    </w:p>
    <w:p w:rsidR="00181B20" w:rsidRDefault="00181B20" w:rsidP="00181B20">
      <w:pPr>
        <w:spacing w:line="360" w:lineRule="auto"/>
        <w:jc w:val="both"/>
      </w:pPr>
      <w:r>
        <w:t xml:space="preserve"> </w:t>
      </w:r>
    </w:p>
    <w:p w:rsidR="00181B20" w:rsidRDefault="00181B20" w:rsidP="00181B20">
      <w:pPr>
        <w:pStyle w:val="Ttulo2"/>
        <w:spacing w:after="0"/>
      </w:pPr>
      <w:bookmarkStart w:id="39" w:name="_Toc307325697"/>
      <w:r>
        <w:t>3.4.2.22 Gestión patrimonial</w:t>
      </w:r>
      <w:bookmarkEnd w:id="39"/>
      <w:r>
        <w:t>:</w:t>
      </w:r>
    </w:p>
    <w:p w:rsidR="00181B20" w:rsidRDefault="00181B20" w:rsidP="00181B20">
      <w:pPr>
        <w:pStyle w:val="Textoindependiente"/>
        <w:spacing w:line="360" w:lineRule="auto"/>
      </w:pPr>
      <w:r>
        <w:t>La Intendencia deberá implementar el sistema de contabilidad patrimonial, conforme a lo establecido en el Artículo 94 del TOCAF y Or</w:t>
      </w:r>
      <w:r w:rsidR="00D83978">
        <w:t>denanza N° 81 de este Tribunal.</w:t>
      </w:r>
    </w:p>
    <w:p w:rsidR="00181B20" w:rsidRDefault="00181B20" w:rsidP="00181B20">
      <w:pPr>
        <w:pStyle w:val="Ttulo2"/>
        <w:spacing w:after="0"/>
      </w:pPr>
      <w:bookmarkStart w:id="40" w:name="_Toc307325698"/>
      <w:r>
        <w:t>3.4.2.23 Modificaciones de recursos</w:t>
      </w:r>
      <w:bookmarkEnd w:id="40"/>
      <w:r>
        <w:t>:</w:t>
      </w:r>
    </w:p>
    <w:p w:rsidR="00181B20" w:rsidRDefault="00181B20" w:rsidP="00181B20">
      <w:pPr>
        <w:pStyle w:val="Textoindependiente2"/>
        <w:jc w:val="both"/>
        <w:rPr>
          <w:rFonts w:ascii="Arial" w:hAnsi="Arial" w:cs="Arial"/>
        </w:rPr>
      </w:pPr>
      <w:r>
        <w:rPr>
          <w:rFonts w:ascii="Arial" w:hAnsi="Arial" w:cs="Arial"/>
        </w:rPr>
        <w:t>Las creaciones o modificaciones de recursos deberán aplicarse con arreglo a lo dispuesto por la Ordenanza N° 62 de este Tribunal.</w:t>
      </w:r>
    </w:p>
    <w:p w:rsidR="00181B20" w:rsidRDefault="00181B20" w:rsidP="00181B20">
      <w:pPr>
        <w:pStyle w:val="Textoindependiente2"/>
        <w:jc w:val="both"/>
        <w:rPr>
          <w:rFonts w:ascii="Arial" w:hAnsi="Arial" w:cs="Arial"/>
        </w:rPr>
      </w:pPr>
      <w:r>
        <w:rPr>
          <w:rFonts w:ascii="Arial" w:hAnsi="Arial" w:cs="Arial"/>
        </w:rPr>
        <w:t xml:space="preserve"> </w:t>
      </w:r>
    </w:p>
    <w:p w:rsidR="00181B20" w:rsidRDefault="00181B20" w:rsidP="00181B20">
      <w:pPr>
        <w:pStyle w:val="Ttulo2"/>
        <w:spacing w:after="0"/>
      </w:pPr>
      <w:r>
        <w:t>3.4.2.24 Ajustes al Resultado del Ejercicio y al Resultado Acumulado:</w:t>
      </w:r>
    </w:p>
    <w:p w:rsidR="00181B20" w:rsidRDefault="00181B20" w:rsidP="00181B20">
      <w:pPr>
        <w:pStyle w:val="Textoindependiente2"/>
        <w:jc w:val="both"/>
        <w:rPr>
          <w:rFonts w:ascii="Arial" w:hAnsi="Arial" w:cs="Arial"/>
        </w:rPr>
      </w:pPr>
      <w:r>
        <w:rPr>
          <w:rFonts w:ascii="Arial" w:hAnsi="Arial" w:cs="Arial"/>
        </w:rPr>
        <w:t xml:space="preserve">La Intendencia deberá efectuar los ajustes correspondientes a efectos de que el resultado acumulado inicial más el resultado del Ejercicio </w:t>
      </w:r>
      <w:proofErr w:type="gramStart"/>
      <w:r>
        <w:rPr>
          <w:rFonts w:ascii="Arial" w:hAnsi="Arial" w:cs="Arial"/>
        </w:rPr>
        <w:t>coincidan</w:t>
      </w:r>
      <w:proofErr w:type="gramEnd"/>
      <w:r>
        <w:rPr>
          <w:rFonts w:ascii="Arial" w:hAnsi="Arial" w:cs="Arial"/>
        </w:rPr>
        <w:t xml:space="preserve"> con el resultado acumulado al 31/12/13.</w:t>
      </w:r>
    </w:p>
    <w:p w:rsidR="00181B20" w:rsidRDefault="00181B20" w:rsidP="00181B20">
      <w:pPr>
        <w:pStyle w:val="Ttulo2"/>
        <w:spacing w:after="0"/>
      </w:pPr>
      <w:r>
        <w:t>3.4.2.25 Cálculo de los tributos:</w:t>
      </w:r>
    </w:p>
    <w:p w:rsidR="00181B20" w:rsidRDefault="00181B20" w:rsidP="00D83978">
      <w:pPr>
        <w:pStyle w:val="Textoindependiente3"/>
        <w:jc w:val="both"/>
        <w:rPr>
          <w:b/>
        </w:rPr>
      </w:pPr>
      <w:r>
        <w:rPr>
          <w:kern w:val="18"/>
          <w:szCs w:val="20"/>
        </w:rPr>
        <w:t>La Intendencia deberá verificar que las bases de cálculo aplicadas para el</w:t>
      </w:r>
      <w:r>
        <w:t xml:space="preserve"> cálculo de tributos sean las previstas en la normativa vigente.</w:t>
      </w:r>
    </w:p>
    <w:p w:rsidR="00181B20" w:rsidRDefault="00181B20" w:rsidP="00181B20">
      <w:pPr>
        <w:pStyle w:val="Textoindependiente3"/>
        <w:rPr>
          <w:b/>
        </w:rPr>
      </w:pPr>
    </w:p>
    <w:p w:rsidR="00181B20" w:rsidRDefault="00181B20" w:rsidP="00181B20">
      <w:pPr>
        <w:pStyle w:val="Ttulo2"/>
        <w:spacing w:after="0"/>
      </w:pPr>
      <w:r>
        <w:t>3.4.2.26 Saldo de Fondos Indisponibles:</w:t>
      </w:r>
    </w:p>
    <w:p w:rsidR="00181B20" w:rsidRDefault="00181B20" w:rsidP="00845D0F">
      <w:pPr>
        <w:pStyle w:val="Textoindependiente3"/>
        <w:jc w:val="both"/>
        <w:rPr>
          <w:b/>
        </w:rPr>
      </w:pPr>
      <w:r>
        <w:t xml:space="preserve">La Intendencia deberá </w:t>
      </w:r>
      <w:proofErr w:type="spellStart"/>
      <w:r>
        <w:t>circularizar</w:t>
      </w:r>
      <w:proofErr w:type="spellEnd"/>
      <w:r>
        <w:t xml:space="preserve"> los acreedores por Fondos Indisponibles y en caso de corresponder ajustar los saldos. Por otra parte, los montos retenidos y pagados deben ser los efectivamente realizados sin incluir ajus</w:t>
      </w:r>
      <w:r w:rsidR="00845D0F">
        <w:t>tes contables.</w:t>
      </w:r>
    </w:p>
    <w:p w:rsidR="00181B20" w:rsidRDefault="00181B20" w:rsidP="00181B20">
      <w:pPr>
        <w:pStyle w:val="Textoindependiente3"/>
        <w:rPr>
          <w:b/>
        </w:rPr>
      </w:pPr>
    </w:p>
    <w:p w:rsidR="00181B20" w:rsidRDefault="00181B20" w:rsidP="00181B20">
      <w:pPr>
        <w:pStyle w:val="Textoindependiente"/>
        <w:widowControl w:val="0"/>
        <w:spacing w:after="0" w:line="360" w:lineRule="auto"/>
        <w:rPr>
          <w:b/>
        </w:rPr>
      </w:pPr>
      <w:r>
        <w:rPr>
          <w:b/>
        </w:rPr>
        <w:t xml:space="preserve">3.4.2.27 Pliegos de bases y condiciones particulares: </w:t>
      </w:r>
    </w:p>
    <w:p w:rsidR="00181B20" w:rsidRDefault="00181B20" w:rsidP="00181B20">
      <w:pPr>
        <w:pStyle w:val="Textoindependiente"/>
        <w:widowControl w:val="0"/>
        <w:spacing w:line="360" w:lineRule="auto"/>
      </w:pPr>
      <w:r>
        <w:t>Los pliegos de bases y condiciones particulares deberán establecer el o los principales factores que se tendrán en cuenta para evaluar las ofertas, así como la ponderación de cada uno a efectos de determinar la calificación asignada a cada oferta, en su caso. Asimismo, los plazos para la entrega de suministros deben ser los establecidos por la Administración en dichos pliegos.</w:t>
      </w:r>
    </w:p>
    <w:p w:rsidR="00181B20" w:rsidRDefault="00181B20" w:rsidP="00181B20">
      <w:pPr>
        <w:pStyle w:val="Textoindependiente"/>
        <w:widowControl w:val="0"/>
        <w:spacing w:after="0" w:line="360" w:lineRule="auto"/>
        <w:rPr>
          <w:b/>
        </w:rPr>
      </w:pPr>
      <w:r>
        <w:rPr>
          <w:b/>
        </w:rPr>
        <w:t>3.4.2.28 Controles de asistencia y horario realizado por los funcionarios:</w:t>
      </w:r>
    </w:p>
    <w:p w:rsidR="00181B20" w:rsidRDefault="00181B20" w:rsidP="00181B20">
      <w:pPr>
        <w:pStyle w:val="Textoindependiente"/>
        <w:widowControl w:val="0"/>
        <w:spacing w:line="360" w:lineRule="auto"/>
      </w:pPr>
      <w:r>
        <w:t>Deberán establecerse los mecanismos correspondientes a efectos de un adecuado control de asistencia y horario de trabajo para la totalidad de los funcionarios.</w:t>
      </w:r>
    </w:p>
    <w:p w:rsidR="00181B20" w:rsidRDefault="00181B20" w:rsidP="00181B20">
      <w:pPr>
        <w:pStyle w:val="Textoindependiente"/>
        <w:widowControl w:val="0"/>
        <w:spacing w:after="0" w:line="360" w:lineRule="auto"/>
        <w:rPr>
          <w:b/>
        </w:rPr>
      </w:pPr>
      <w:r>
        <w:rPr>
          <w:b/>
        </w:rPr>
        <w:t>3.4.2.29 Seguros de caución de fidelidad:</w:t>
      </w:r>
    </w:p>
    <w:p w:rsidR="00181B20" w:rsidRDefault="00181B20" w:rsidP="00181B20">
      <w:pPr>
        <w:pStyle w:val="Textoindependiente"/>
        <w:widowControl w:val="0"/>
        <w:spacing w:line="360" w:lineRule="auto"/>
      </w:pPr>
      <w:r>
        <w:t>La Administración deberá contar con seguros de caución de fidelidad para la totalidad de los funcionarios que manejan o custodian fondos o valores.</w:t>
      </w:r>
    </w:p>
    <w:p w:rsidR="00181B20" w:rsidRDefault="00181B20" w:rsidP="00181B20">
      <w:pPr>
        <w:pStyle w:val="Textoindependiente"/>
        <w:widowControl w:val="0"/>
        <w:spacing w:after="0" w:line="360" w:lineRule="auto"/>
        <w:rPr>
          <w:b/>
        </w:rPr>
      </w:pPr>
      <w:r>
        <w:rPr>
          <w:b/>
        </w:rPr>
        <w:t xml:space="preserve">3.4.2.30 Compras de Gas </w:t>
      </w:r>
      <w:proofErr w:type="spellStart"/>
      <w:r>
        <w:rPr>
          <w:b/>
        </w:rPr>
        <w:t>Oil</w:t>
      </w:r>
      <w:proofErr w:type="spellEnd"/>
      <w:r>
        <w:rPr>
          <w:b/>
        </w:rPr>
        <w:t xml:space="preserve">: </w:t>
      </w:r>
    </w:p>
    <w:p w:rsidR="00181B20" w:rsidRDefault="00181B20" w:rsidP="00181B20">
      <w:pPr>
        <w:pStyle w:val="Textoindependiente"/>
        <w:widowControl w:val="0"/>
        <w:spacing w:after="0" w:line="360" w:lineRule="auto"/>
      </w:pPr>
      <w:r>
        <w:t xml:space="preserve">Deberán establecerse los procedimientos necesarios a efectos de verificar la disponibilidad presupuestal al momento del pago a ANCAP de las facturas por compra de Gas </w:t>
      </w:r>
      <w:proofErr w:type="spellStart"/>
      <w:r>
        <w:t>Oil</w:t>
      </w:r>
      <w:proofErr w:type="spellEnd"/>
      <w:r>
        <w:t>.</w:t>
      </w:r>
    </w:p>
    <w:p w:rsidR="00181B20" w:rsidRDefault="00181B20" w:rsidP="00181B20">
      <w:pPr>
        <w:pStyle w:val="Textoindependiente"/>
        <w:widowControl w:val="0"/>
        <w:spacing w:after="0" w:line="360" w:lineRule="auto"/>
      </w:pPr>
    </w:p>
    <w:p w:rsidR="008D1B44" w:rsidRDefault="008D1B44" w:rsidP="00181B20">
      <w:pPr>
        <w:pStyle w:val="Textoindependiente"/>
        <w:widowControl w:val="0"/>
        <w:spacing w:after="0" w:line="360" w:lineRule="auto"/>
      </w:pPr>
    </w:p>
    <w:p w:rsidR="00181B20" w:rsidRDefault="00181B20" w:rsidP="00181B20">
      <w:pPr>
        <w:pStyle w:val="Textoindependiente"/>
        <w:widowControl w:val="0"/>
        <w:spacing w:after="0" w:line="360" w:lineRule="auto"/>
        <w:rPr>
          <w:b/>
        </w:rPr>
      </w:pPr>
      <w:r>
        <w:rPr>
          <w:b/>
        </w:rPr>
        <w:t xml:space="preserve">3.4.2.31 Empresas </w:t>
      </w:r>
      <w:proofErr w:type="spellStart"/>
      <w:r>
        <w:rPr>
          <w:b/>
        </w:rPr>
        <w:t>Monotributistas</w:t>
      </w:r>
      <w:proofErr w:type="spellEnd"/>
      <w:r>
        <w:rPr>
          <w:b/>
        </w:rPr>
        <w:t xml:space="preserve"> y compras sin documentación </w:t>
      </w:r>
      <w:proofErr w:type="spellStart"/>
      <w:r>
        <w:rPr>
          <w:b/>
        </w:rPr>
        <w:t>respaldante</w:t>
      </w:r>
      <w:proofErr w:type="spellEnd"/>
      <w:r>
        <w:rPr>
          <w:b/>
        </w:rPr>
        <w:t>:</w:t>
      </w:r>
    </w:p>
    <w:p w:rsidR="00181B20" w:rsidRDefault="00181B20" w:rsidP="00181B20">
      <w:pPr>
        <w:pStyle w:val="Textoindependiente"/>
        <w:widowControl w:val="0"/>
        <w:spacing w:line="360" w:lineRule="auto"/>
      </w:pPr>
      <w:r>
        <w:t xml:space="preserve">La Intendencia no está habilitada para contratar con empresas inscriptas en DGI como </w:t>
      </w:r>
      <w:proofErr w:type="spellStart"/>
      <w:r>
        <w:t>monotributistas</w:t>
      </w:r>
      <w:proofErr w:type="spellEnd"/>
      <w:r>
        <w:t>. Asimismo, todas las compras que se realicen deben estar documentadas en comprobantes oficiales emitidos por el proveedor.</w:t>
      </w:r>
    </w:p>
    <w:p w:rsidR="00181B20" w:rsidRDefault="00181B20" w:rsidP="00181B20">
      <w:pPr>
        <w:pStyle w:val="Textoindependiente"/>
        <w:widowControl w:val="0"/>
        <w:spacing w:after="0" w:line="360" w:lineRule="auto"/>
        <w:rPr>
          <w:b/>
        </w:rPr>
      </w:pPr>
      <w:r>
        <w:rPr>
          <w:b/>
        </w:rPr>
        <w:t>3.4.2.32 Partidas salariales:</w:t>
      </w:r>
    </w:p>
    <w:p w:rsidR="00181B20" w:rsidRDefault="00181B20" w:rsidP="00181B20">
      <w:pPr>
        <w:pStyle w:val="Textoindependiente"/>
        <w:widowControl w:val="0"/>
        <w:spacing w:line="360" w:lineRule="auto"/>
      </w:pPr>
      <w:r>
        <w:t>La totalidad de las partidas de carácter salarial pagadas a los funcionarios deben ser las establecidas en las normas presupuestales vigentes.</w:t>
      </w:r>
    </w:p>
    <w:p w:rsidR="00181B20" w:rsidRDefault="00181B20" w:rsidP="00181B20">
      <w:pPr>
        <w:pStyle w:val="Ttulo2"/>
      </w:pPr>
      <w:r>
        <w:t>3.4.3 Recomendaciones del Ejercicio.</w:t>
      </w:r>
    </w:p>
    <w:p w:rsidR="00181B20" w:rsidRDefault="00181B20" w:rsidP="00181B20">
      <w:pPr>
        <w:autoSpaceDE w:val="0"/>
        <w:autoSpaceDN w:val="0"/>
        <w:adjustRightInd w:val="0"/>
        <w:spacing w:line="360" w:lineRule="auto"/>
        <w:jc w:val="both"/>
        <w:rPr>
          <w:color w:val="000000"/>
        </w:rPr>
      </w:pPr>
      <w:r>
        <w:rPr>
          <w:color w:val="000000"/>
        </w:rPr>
        <w:t>Se reiteran las recomendaciones señaladas en el apartado 3.4.2 y se agregan las siguientes:</w:t>
      </w:r>
    </w:p>
    <w:p w:rsidR="00181B20" w:rsidRDefault="00181B20" w:rsidP="00181B20">
      <w:pPr>
        <w:autoSpaceDE w:val="0"/>
        <w:autoSpaceDN w:val="0"/>
        <w:adjustRightInd w:val="0"/>
        <w:spacing w:line="360" w:lineRule="auto"/>
        <w:jc w:val="both"/>
        <w:rPr>
          <w:color w:val="000000"/>
        </w:rPr>
      </w:pPr>
    </w:p>
    <w:p w:rsidR="00181B20" w:rsidRDefault="00181B20" w:rsidP="00181B20">
      <w:pPr>
        <w:autoSpaceDE w:val="0"/>
        <w:autoSpaceDN w:val="0"/>
        <w:adjustRightInd w:val="0"/>
        <w:spacing w:line="360" w:lineRule="auto"/>
        <w:jc w:val="both"/>
        <w:rPr>
          <w:b/>
          <w:snapToGrid w:val="0"/>
        </w:rPr>
      </w:pPr>
      <w:r>
        <w:rPr>
          <w:b/>
          <w:color w:val="000000"/>
        </w:rPr>
        <w:t xml:space="preserve">3.4.3.1 Publicación en sitio Web de Compras </w:t>
      </w:r>
      <w:r>
        <w:rPr>
          <w:b/>
          <w:snapToGrid w:val="0"/>
        </w:rPr>
        <w:t>y Contrataciones Estatales:</w:t>
      </w:r>
    </w:p>
    <w:p w:rsidR="00181B20" w:rsidRDefault="00181B20" w:rsidP="00181B20">
      <w:pPr>
        <w:autoSpaceDE w:val="0"/>
        <w:autoSpaceDN w:val="0"/>
        <w:adjustRightInd w:val="0"/>
        <w:spacing w:line="360" w:lineRule="auto"/>
        <w:jc w:val="both"/>
        <w:rPr>
          <w:snapToGrid w:val="0"/>
        </w:rPr>
      </w:pPr>
      <w:r>
        <w:rPr>
          <w:color w:val="000000"/>
        </w:rPr>
        <w:t>Debe ser publicada en dicho sitio</w:t>
      </w:r>
      <w:r>
        <w:rPr>
          <w:snapToGrid w:val="0"/>
        </w:rPr>
        <w:t xml:space="preserve"> Web la información correspondiente a contrataciones de obras, bienes y servicios de todas las licitaciones y convocatorias a procedimiento</w:t>
      </w:r>
      <w:r w:rsidR="00845D0F">
        <w:rPr>
          <w:snapToGrid w:val="0"/>
        </w:rPr>
        <w:t>s competitivos que se realicen.</w:t>
      </w:r>
    </w:p>
    <w:p w:rsidR="00181B20" w:rsidRDefault="00181B20" w:rsidP="00181B20">
      <w:pPr>
        <w:autoSpaceDE w:val="0"/>
        <w:autoSpaceDN w:val="0"/>
        <w:adjustRightInd w:val="0"/>
        <w:spacing w:line="360" w:lineRule="auto"/>
        <w:jc w:val="both"/>
        <w:rPr>
          <w:snapToGrid w:val="0"/>
        </w:rPr>
      </w:pPr>
    </w:p>
    <w:p w:rsidR="00181B20" w:rsidRDefault="00181B20" w:rsidP="00181B20">
      <w:pPr>
        <w:autoSpaceDE w:val="0"/>
        <w:autoSpaceDN w:val="0"/>
        <w:adjustRightInd w:val="0"/>
        <w:spacing w:line="360" w:lineRule="auto"/>
        <w:jc w:val="both"/>
        <w:rPr>
          <w:b/>
          <w:snapToGrid w:val="0"/>
        </w:rPr>
      </w:pPr>
      <w:r>
        <w:rPr>
          <w:b/>
          <w:snapToGrid w:val="0"/>
        </w:rPr>
        <w:t>3.4.3.2 Mejora de ofertas:</w:t>
      </w:r>
    </w:p>
    <w:p w:rsidR="00181B20" w:rsidRDefault="00181B20" w:rsidP="00181B20">
      <w:pPr>
        <w:autoSpaceDE w:val="0"/>
        <w:autoSpaceDN w:val="0"/>
        <w:adjustRightInd w:val="0"/>
        <w:spacing w:line="360" w:lineRule="auto"/>
        <w:jc w:val="both"/>
        <w:rPr>
          <w:snapToGrid w:val="0"/>
        </w:rPr>
      </w:pPr>
      <w:r>
        <w:rPr>
          <w:snapToGrid w:val="0"/>
        </w:rPr>
        <w:t>Al utilizar el procedimiento de mejora de ofertas establecido en el Artículo 66 del TOCAF, por presentar éstas precios similares, deberán ser consideradas aquellas cuyos precios no difieran en más del 5 % del precio de la menor. Asimismo, el plazo otorgado para la presentación de nuevas ofertas deberá ser mayor a dos días hábiles, sin computar el día de la notificación, citación o emplazamiento.</w:t>
      </w:r>
    </w:p>
    <w:p w:rsidR="00181B20" w:rsidRDefault="00181B20" w:rsidP="00181B20">
      <w:pPr>
        <w:autoSpaceDE w:val="0"/>
        <w:autoSpaceDN w:val="0"/>
        <w:adjustRightInd w:val="0"/>
        <w:spacing w:line="360" w:lineRule="auto"/>
        <w:jc w:val="both"/>
        <w:rPr>
          <w:snapToGrid w:val="0"/>
        </w:rPr>
      </w:pPr>
      <w:r>
        <w:rPr>
          <w:snapToGrid w:val="0"/>
        </w:rPr>
        <w:t xml:space="preserve"> </w:t>
      </w:r>
    </w:p>
    <w:p w:rsidR="00181B20" w:rsidRDefault="00181B20" w:rsidP="00181B20">
      <w:pPr>
        <w:autoSpaceDE w:val="0"/>
        <w:autoSpaceDN w:val="0"/>
        <w:adjustRightInd w:val="0"/>
        <w:spacing w:line="360" w:lineRule="auto"/>
        <w:jc w:val="both"/>
        <w:rPr>
          <w:b/>
          <w:color w:val="000000"/>
        </w:rPr>
      </w:pPr>
      <w:r>
        <w:rPr>
          <w:b/>
          <w:color w:val="000000"/>
        </w:rPr>
        <w:t xml:space="preserve">3.4.3.3 Auditoría Interna: </w:t>
      </w:r>
    </w:p>
    <w:p w:rsidR="00181B20" w:rsidRDefault="00181B20" w:rsidP="00181B20">
      <w:pPr>
        <w:autoSpaceDE w:val="0"/>
        <w:autoSpaceDN w:val="0"/>
        <w:adjustRightInd w:val="0"/>
        <w:spacing w:line="360" w:lineRule="auto"/>
        <w:jc w:val="both"/>
        <w:rPr>
          <w:color w:val="000000"/>
        </w:rPr>
      </w:pPr>
      <w:r>
        <w:rPr>
          <w:color w:val="000000"/>
        </w:rPr>
        <w:t>Los trabajos planificados y ejecutados por la Unidad de Auditoría Interna deberán ser coordinados con el Tribunal de Cuentas.</w:t>
      </w:r>
    </w:p>
    <w:p w:rsidR="00181B20" w:rsidRDefault="00181B20" w:rsidP="00181B20">
      <w:pPr>
        <w:autoSpaceDE w:val="0"/>
        <w:autoSpaceDN w:val="0"/>
        <w:adjustRightInd w:val="0"/>
        <w:spacing w:line="360" w:lineRule="auto"/>
        <w:jc w:val="both"/>
        <w:rPr>
          <w:b/>
          <w:color w:val="000000"/>
        </w:rPr>
      </w:pPr>
      <w:r>
        <w:rPr>
          <w:b/>
          <w:color w:val="000000"/>
        </w:rPr>
        <w:t>3.4.3.4 Rendiciones de cuentas:</w:t>
      </w:r>
    </w:p>
    <w:p w:rsidR="00181B20" w:rsidRDefault="00181B20" w:rsidP="00181B20">
      <w:pPr>
        <w:autoSpaceDE w:val="0"/>
        <w:autoSpaceDN w:val="0"/>
        <w:adjustRightInd w:val="0"/>
        <w:spacing w:line="360" w:lineRule="auto"/>
        <w:jc w:val="both"/>
        <w:rPr>
          <w:color w:val="000000"/>
        </w:rPr>
      </w:pPr>
      <w:r>
        <w:rPr>
          <w:color w:val="000000"/>
        </w:rPr>
        <w:t>Las rendiciones de cuentas de fondos percibidos del Estado, así como aquellas correspondientes a fondos entregados a funcionarios, deberán ser presentadas en un plazo de 60 días contados a partir del último día del mes en que se recibieron u otorgar</w:t>
      </w:r>
      <w:r w:rsidR="008D1B44">
        <w:rPr>
          <w:color w:val="000000"/>
        </w:rPr>
        <w:t>on dichos fondos.</w:t>
      </w:r>
    </w:p>
    <w:p w:rsidR="00181B20" w:rsidRDefault="00181B20" w:rsidP="00181B20">
      <w:pPr>
        <w:autoSpaceDE w:val="0"/>
        <w:autoSpaceDN w:val="0"/>
        <w:adjustRightInd w:val="0"/>
        <w:spacing w:line="360" w:lineRule="auto"/>
        <w:jc w:val="both"/>
        <w:rPr>
          <w:color w:val="000000"/>
        </w:rPr>
      </w:pPr>
    </w:p>
    <w:p w:rsidR="00181B20" w:rsidRDefault="00181B20" w:rsidP="00181B20">
      <w:pPr>
        <w:autoSpaceDE w:val="0"/>
        <w:autoSpaceDN w:val="0"/>
        <w:adjustRightInd w:val="0"/>
        <w:spacing w:line="360" w:lineRule="auto"/>
        <w:jc w:val="both"/>
        <w:rPr>
          <w:b/>
          <w:color w:val="000000"/>
        </w:rPr>
      </w:pPr>
      <w:r>
        <w:rPr>
          <w:b/>
          <w:color w:val="000000"/>
        </w:rPr>
        <w:t>3.4.3.5 Recursos de los Municipios:</w:t>
      </w:r>
    </w:p>
    <w:p w:rsidR="00181B20" w:rsidRDefault="00181B20" w:rsidP="00181B20">
      <w:pPr>
        <w:autoSpaceDE w:val="0"/>
        <w:autoSpaceDN w:val="0"/>
        <w:adjustRightInd w:val="0"/>
        <w:spacing w:line="360" w:lineRule="auto"/>
        <w:jc w:val="both"/>
        <w:rPr>
          <w:color w:val="000000"/>
        </w:rPr>
      </w:pPr>
      <w:r>
        <w:rPr>
          <w:color w:val="000000"/>
        </w:rPr>
        <w:t>A efectos de dar cumplimiento a lo establecido en el presupuesto quinquenal vigente, deberá otorgarse a los Municipios el total producido por concepto de Contribución Inmobiliaria Urbana y Suburbana, Patente de Rodados generada por los vehículos empadronados en la localidad y los demás impuestos y tasas que se recauden en el mismo.</w:t>
      </w:r>
    </w:p>
    <w:p w:rsidR="00181B20" w:rsidRDefault="00181B20" w:rsidP="00181B20">
      <w:pPr>
        <w:autoSpaceDE w:val="0"/>
        <w:autoSpaceDN w:val="0"/>
        <w:adjustRightInd w:val="0"/>
        <w:spacing w:line="360" w:lineRule="auto"/>
        <w:jc w:val="both"/>
        <w:rPr>
          <w:color w:val="000000"/>
        </w:rPr>
      </w:pPr>
    </w:p>
    <w:p w:rsidR="00181B20" w:rsidRDefault="00181B20" w:rsidP="00181B20">
      <w:pPr>
        <w:autoSpaceDE w:val="0"/>
        <w:autoSpaceDN w:val="0"/>
        <w:adjustRightInd w:val="0"/>
        <w:spacing w:line="360" w:lineRule="auto"/>
        <w:jc w:val="both"/>
        <w:rPr>
          <w:b/>
          <w:color w:val="000000"/>
        </w:rPr>
      </w:pPr>
      <w:r>
        <w:rPr>
          <w:b/>
          <w:color w:val="000000"/>
        </w:rPr>
        <w:t>3.4.3.6 Gastos realizados por los Ediles:</w:t>
      </w:r>
    </w:p>
    <w:p w:rsidR="00181B20" w:rsidRDefault="00181B20" w:rsidP="00181B20">
      <w:pPr>
        <w:pStyle w:val="Textoindependiente"/>
        <w:autoSpaceDE w:val="0"/>
        <w:autoSpaceDN w:val="0"/>
        <w:adjustRightInd w:val="0"/>
        <w:spacing w:after="0" w:line="360" w:lineRule="auto"/>
        <w:rPr>
          <w:kern w:val="0"/>
          <w:lang w:val="es-ES"/>
        </w:rPr>
      </w:pPr>
      <w:r>
        <w:rPr>
          <w:kern w:val="0"/>
          <w:lang w:val="es-ES"/>
        </w:rPr>
        <w:t xml:space="preserve">Los gastos de traslado, hospedaje y alimentación realizados por los Sres. Ediles deberán rendirse en forma mensual, adjuntando la documentación </w:t>
      </w:r>
      <w:proofErr w:type="spellStart"/>
      <w:r>
        <w:rPr>
          <w:kern w:val="0"/>
          <w:lang w:val="es-ES"/>
        </w:rPr>
        <w:t>respaldante</w:t>
      </w:r>
      <w:proofErr w:type="spellEnd"/>
      <w:r>
        <w:rPr>
          <w:kern w:val="0"/>
          <w:lang w:val="es-ES"/>
        </w:rPr>
        <w:t xml:space="preserve"> de los mismos y además con declaración jurada detallando, como mínimo, las fechas y lugares a los que concurrieron en cumplimiento de sus funciones.</w:t>
      </w:r>
    </w:p>
    <w:p w:rsidR="00181B20" w:rsidRDefault="00181B20" w:rsidP="00181B20">
      <w:pPr>
        <w:pStyle w:val="Textoindependiente"/>
        <w:widowControl w:val="0"/>
        <w:jc w:val="right"/>
        <w:rPr>
          <w:color w:val="000000"/>
        </w:rPr>
      </w:pPr>
      <w:r>
        <w:rPr>
          <w:color w:val="000000"/>
        </w:rPr>
        <w:t>Montevideo, 20 de octubre de 2014</w:t>
      </w:r>
    </w:p>
    <w:p w:rsidR="00FD6E4F" w:rsidRDefault="00181B20" w:rsidP="00181B20">
      <w:pPr>
        <w:ind w:left="1416" w:hanging="1416"/>
      </w:pPr>
      <w:r>
        <w:t>cc</w:t>
      </w:r>
    </w:p>
    <w:sectPr w:rsidR="00FD6E4F" w:rsidSect="002D099B">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B044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E352C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1AA97C00"/>
    <w:multiLevelType w:val="hybridMultilevel"/>
    <w:tmpl w:val="1F56A0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47C6E94"/>
    <w:multiLevelType w:val="hybridMultilevel"/>
    <w:tmpl w:val="DCB47D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F464076"/>
    <w:multiLevelType w:val="singleLevel"/>
    <w:tmpl w:val="62BAE0F0"/>
    <w:lvl w:ilvl="0">
      <w:start w:val="1"/>
      <w:numFmt w:val="decimal"/>
      <w:lvlText w:val="%1)"/>
      <w:lvlJc w:val="left"/>
      <w:pPr>
        <w:tabs>
          <w:tab w:val="num" w:pos="360"/>
        </w:tabs>
        <w:ind w:left="360" w:hanging="360"/>
      </w:pPr>
      <w:rPr>
        <w:rFonts w:ascii="Times New Roman" w:hAnsi="Times New Roman" w:hint="default"/>
        <w:b/>
        <w:bCs/>
      </w:rPr>
    </w:lvl>
  </w:abstractNum>
  <w:abstractNum w:abstractNumId="5">
    <w:nsid w:val="4597025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46846BE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55FD168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565124C1"/>
    <w:multiLevelType w:val="singleLevel"/>
    <w:tmpl w:val="F8323C2E"/>
    <w:lvl w:ilvl="0">
      <w:start w:val="1"/>
      <w:numFmt w:val="decimal"/>
      <w:lvlText w:val="%1."/>
      <w:lvlJc w:val="left"/>
      <w:pPr>
        <w:tabs>
          <w:tab w:val="num" w:pos="375"/>
        </w:tabs>
        <w:ind w:left="375" w:hanging="375"/>
      </w:pPr>
      <w:rPr>
        <w:rFonts w:ascii="Arial" w:eastAsia="Times New Roman" w:hAnsi="Arial" w:cs="Times New Roman"/>
        <w:b/>
      </w:rPr>
    </w:lvl>
  </w:abstractNum>
  <w:abstractNum w:abstractNumId="9">
    <w:nsid w:val="5DB536A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5EF527BE"/>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8"/>
  </w:num>
  <w:num w:numId="3">
    <w:abstractNumId w:val="2"/>
  </w:num>
  <w:num w:numId="4">
    <w:abstractNumId w:val="3"/>
  </w:num>
  <w:num w:numId="5">
    <w:abstractNumId w:val="10"/>
  </w:num>
  <w:num w:numId="6">
    <w:abstractNumId w:val="5"/>
  </w:num>
  <w:num w:numId="7">
    <w:abstractNumId w:val="9"/>
  </w:num>
  <w:num w:numId="8">
    <w:abstractNumId w:val="0"/>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01"/>
    <w:rsid w:val="00181B20"/>
    <w:rsid w:val="002D099B"/>
    <w:rsid w:val="003C041C"/>
    <w:rsid w:val="00845D0F"/>
    <w:rsid w:val="008D1B44"/>
    <w:rsid w:val="00A0272E"/>
    <w:rsid w:val="00B03E01"/>
    <w:rsid w:val="00C56119"/>
    <w:rsid w:val="00D83978"/>
    <w:rsid w:val="00D861CE"/>
    <w:rsid w:val="00FD21B9"/>
    <w:rsid w:val="00FD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Body Text" w:uiPriority="0" w:unhideWhenUsed="0"/>
    <w:lsdException w:name="Subtitle" w:semiHidden="0" w:uiPriority="0" w:unhideWhenUsed="0" w:qFormat="1"/>
    <w:lsdException w:name="Body Text 2" w:uiPriority="0"/>
    <w:lsdException w:name="Body Text 3" w:uiPriority="0"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qFormat/>
    <w:rsid w:val="00181B20"/>
    <w:pPr>
      <w:keepNext/>
      <w:widowControl w:val="0"/>
      <w:spacing w:line="360" w:lineRule="auto"/>
      <w:jc w:val="center"/>
      <w:outlineLvl w:val="0"/>
    </w:pPr>
    <w:rPr>
      <w:rFonts w:eastAsia="Times New Roman"/>
      <w:b/>
      <w:bCs/>
      <w:snapToGrid w:val="0"/>
      <w:szCs w:val="20"/>
    </w:rPr>
  </w:style>
  <w:style w:type="paragraph" w:styleId="Ttulo2">
    <w:name w:val="heading 2"/>
    <w:basedOn w:val="Normal"/>
    <w:next w:val="Textoindependiente"/>
    <w:link w:val="Ttulo2Car"/>
    <w:qFormat/>
    <w:rsid w:val="00181B20"/>
    <w:pPr>
      <w:spacing w:after="170" w:line="360" w:lineRule="auto"/>
      <w:outlineLvl w:val="1"/>
    </w:pPr>
    <w:rPr>
      <w:rFonts w:eastAsia="Times New Roman" w:cs="Times New Roman"/>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40" w:line="240" w:lineRule="atLeast"/>
      <w:jc w:val="both"/>
    </w:pPr>
    <w:rPr>
      <w:kern w:val="18"/>
      <w:lang w:val="es-ES_tradnl"/>
    </w:rPr>
  </w:style>
  <w:style w:type="character" w:customStyle="1" w:styleId="TextoindependienteCar">
    <w:name w:val="Texto independiente Car"/>
    <w:basedOn w:val="Fuentedeprrafopredeter"/>
    <w:link w:val="Textoindependiente"/>
    <w:rPr>
      <w:rFonts w:ascii="Arial" w:hAnsi="Arial" w:cs="Arial"/>
      <w:kern w:val="18"/>
      <w:sz w:val="20"/>
      <w:szCs w:val="20"/>
      <w:lang w:val="es-ES_tradnl" w:eastAsia="es-ES"/>
    </w:rPr>
  </w:style>
  <w:style w:type="paragraph" w:styleId="Textoindependiente3">
    <w:name w:val="Body Text 3"/>
    <w:basedOn w:val="Normal"/>
    <w:link w:val="Textoindependiente3Car"/>
    <w:pPr>
      <w:spacing w:line="360" w:lineRule="auto"/>
      <w:jc w:val="right"/>
    </w:pPr>
  </w:style>
  <w:style w:type="character" w:customStyle="1" w:styleId="Textoindependiente3Car">
    <w:name w:val="Texto independiente 3 Car"/>
    <w:basedOn w:val="Fuentedeprrafopredeter"/>
    <w:link w:val="Textoindependiente3"/>
    <w:rPr>
      <w:rFonts w:ascii="Arial" w:hAnsi="Arial" w:cs="Arial"/>
      <w:sz w:val="24"/>
      <w:szCs w:val="24"/>
      <w:lang w:val="es-ES" w:eastAsia="es-ES"/>
    </w:rPr>
  </w:style>
  <w:style w:type="character" w:customStyle="1" w:styleId="Ttulo1Car">
    <w:name w:val="Título 1 Car"/>
    <w:basedOn w:val="Fuentedeprrafopredeter"/>
    <w:link w:val="Ttulo1"/>
    <w:rsid w:val="00181B20"/>
    <w:rPr>
      <w:rFonts w:ascii="Arial" w:eastAsia="Times New Roman" w:hAnsi="Arial" w:cs="Arial"/>
      <w:b/>
      <w:bCs/>
      <w:snapToGrid w:val="0"/>
      <w:sz w:val="24"/>
      <w:szCs w:val="20"/>
      <w:lang w:val="es-ES" w:eastAsia="es-ES"/>
    </w:rPr>
  </w:style>
  <w:style w:type="paragraph" w:styleId="Subttulo">
    <w:name w:val="Subtitle"/>
    <w:basedOn w:val="Normal"/>
    <w:link w:val="SubttuloCar"/>
    <w:qFormat/>
    <w:rsid w:val="00181B20"/>
    <w:pPr>
      <w:spacing w:line="360" w:lineRule="auto"/>
      <w:jc w:val="both"/>
    </w:pPr>
    <w:rPr>
      <w:rFonts w:ascii="Bookman Old Style" w:eastAsia="Times New Roman" w:hAnsi="Bookman Old Style" w:cs="Times New Roman"/>
      <w:b/>
      <w:kern w:val="18"/>
      <w:szCs w:val="20"/>
    </w:rPr>
  </w:style>
  <w:style w:type="character" w:customStyle="1" w:styleId="SubttuloCar">
    <w:name w:val="Subtítulo Car"/>
    <w:basedOn w:val="Fuentedeprrafopredeter"/>
    <w:link w:val="Subttulo"/>
    <w:rsid w:val="00181B20"/>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rsid w:val="00181B20"/>
    <w:rPr>
      <w:rFonts w:ascii="Arial" w:eastAsia="Times New Roman" w:hAnsi="Arial" w:cs="Times New Roman"/>
      <w:b/>
      <w:kern w:val="18"/>
      <w:sz w:val="24"/>
      <w:szCs w:val="20"/>
      <w:lang w:val="es-ES" w:eastAsia="es-ES"/>
    </w:rPr>
  </w:style>
  <w:style w:type="paragraph" w:styleId="Textoindependiente2">
    <w:name w:val="Body Text 2"/>
    <w:basedOn w:val="Normal"/>
    <w:link w:val="Textoindependiente2Car"/>
    <w:semiHidden/>
    <w:rsid w:val="00181B20"/>
    <w:pPr>
      <w:spacing w:line="360" w:lineRule="auto"/>
    </w:pPr>
    <w:rPr>
      <w:rFonts w:ascii="Bookman Old Style" w:eastAsia="Times New Roman" w:hAnsi="Bookman Old Style" w:cs="Times New Roman"/>
      <w:kern w:val="18"/>
      <w:szCs w:val="20"/>
    </w:rPr>
  </w:style>
  <w:style w:type="character" w:customStyle="1" w:styleId="Textoindependiente2Car">
    <w:name w:val="Texto independiente 2 Car"/>
    <w:basedOn w:val="Fuentedeprrafopredeter"/>
    <w:link w:val="Textoindependiente2"/>
    <w:semiHidden/>
    <w:rsid w:val="00181B20"/>
    <w:rPr>
      <w:rFonts w:ascii="Bookman Old Style" w:eastAsia="Times New Roman" w:hAnsi="Bookman Old Style" w:cs="Times New Roman"/>
      <w:kern w:val="18"/>
      <w:sz w:val="24"/>
      <w:szCs w:val="20"/>
      <w:lang w:val="es-ES" w:eastAsia="es-ES"/>
    </w:rPr>
  </w:style>
  <w:style w:type="character" w:styleId="Nmerodepgina">
    <w:name w:val="page number"/>
    <w:basedOn w:val="Fuentedeprrafopredeter"/>
    <w:semiHidden/>
    <w:rsid w:val="00181B20"/>
  </w:style>
  <w:style w:type="paragraph" w:styleId="NormalWeb">
    <w:name w:val="Normal (Web)"/>
    <w:basedOn w:val="Normal"/>
    <w:semiHidden/>
    <w:rsid w:val="00181B20"/>
    <w:pPr>
      <w:spacing w:before="100" w:after="100"/>
    </w:pPr>
    <w:rPr>
      <w:rFonts w:ascii="Arial Unicode MS" w:eastAsia="Arial Unicode MS" w:hAnsi="Arial Unicode M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Body Text" w:uiPriority="0" w:unhideWhenUsed="0"/>
    <w:lsdException w:name="Subtitle" w:semiHidden="0" w:uiPriority="0" w:unhideWhenUsed="0" w:qFormat="1"/>
    <w:lsdException w:name="Body Text 2" w:uiPriority="0"/>
    <w:lsdException w:name="Body Text 3" w:uiPriority="0" w:unhideWhenUsed="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qFormat/>
    <w:rsid w:val="00181B20"/>
    <w:pPr>
      <w:keepNext/>
      <w:widowControl w:val="0"/>
      <w:spacing w:line="360" w:lineRule="auto"/>
      <w:jc w:val="center"/>
      <w:outlineLvl w:val="0"/>
    </w:pPr>
    <w:rPr>
      <w:rFonts w:eastAsia="Times New Roman"/>
      <w:b/>
      <w:bCs/>
      <w:snapToGrid w:val="0"/>
      <w:szCs w:val="20"/>
    </w:rPr>
  </w:style>
  <w:style w:type="paragraph" w:styleId="Ttulo2">
    <w:name w:val="heading 2"/>
    <w:basedOn w:val="Normal"/>
    <w:next w:val="Textoindependiente"/>
    <w:link w:val="Ttulo2Car"/>
    <w:qFormat/>
    <w:rsid w:val="00181B20"/>
    <w:pPr>
      <w:spacing w:after="170" w:line="360" w:lineRule="auto"/>
      <w:outlineLvl w:val="1"/>
    </w:pPr>
    <w:rPr>
      <w:rFonts w:eastAsia="Times New Roman" w:cs="Times New Roman"/>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40" w:line="240" w:lineRule="atLeast"/>
      <w:jc w:val="both"/>
    </w:pPr>
    <w:rPr>
      <w:kern w:val="18"/>
      <w:lang w:val="es-ES_tradnl"/>
    </w:rPr>
  </w:style>
  <w:style w:type="character" w:customStyle="1" w:styleId="TextoindependienteCar">
    <w:name w:val="Texto independiente Car"/>
    <w:basedOn w:val="Fuentedeprrafopredeter"/>
    <w:link w:val="Textoindependiente"/>
    <w:rPr>
      <w:rFonts w:ascii="Arial" w:hAnsi="Arial" w:cs="Arial"/>
      <w:kern w:val="18"/>
      <w:sz w:val="20"/>
      <w:szCs w:val="20"/>
      <w:lang w:val="es-ES_tradnl" w:eastAsia="es-ES"/>
    </w:rPr>
  </w:style>
  <w:style w:type="paragraph" w:styleId="Textoindependiente3">
    <w:name w:val="Body Text 3"/>
    <w:basedOn w:val="Normal"/>
    <w:link w:val="Textoindependiente3Car"/>
    <w:pPr>
      <w:spacing w:line="360" w:lineRule="auto"/>
      <w:jc w:val="right"/>
    </w:pPr>
  </w:style>
  <w:style w:type="character" w:customStyle="1" w:styleId="Textoindependiente3Car">
    <w:name w:val="Texto independiente 3 Car"/>
    <w:basedOn w:val="Fuentedeprrafopredeter"/>
    <w:link w:val="Textoindependiente3"/>
    <w:rPr>
      <w:rFonts w:ascii="Arial" w:hAnsi="Arial" w:cs="Arial"/>
      <w:sz w:val="24"/>
      <w:szCs w:val="24"/>
      <w:lang w:val="es-ES" w:eastAsia="es-ES"/>
    </w:rPr>
  </w:style>
  <w:style w:type="character" w:customStyle="1" w:styleId="Ttulo1Car">
    <w:name w:val="Título 1 Car"/>
    <w:basedOn w:val="Fuentedeprrafopredeter"/>
    <w:link w:val="Ttulo1"/>
    <w:rsid w:val="00181B20"/>
    <w:rPr>
      <w:rFonts w:ascii="Arial" w:eastAsia="Times New Roman" w:hAnsi="Arial" w:cs="Arial"/>
      <w:b/>
      <w:bCs/>
      <w:snapToGrid w:val="0"/>
      <w:sz w:val="24"/>
      <w:szCs w:val="20"/>
      <w:lang w:val="es-ES" w:eastAsia="es-ES"/>
    </w:rPr>
  </w:style>
  <w:style w:type="paragraph" w:styleId="Subttulo">
    <w:name w:val="Subtitle"/>
    <w:basedOn w:val="Normal"/>
    <w:link w:val="SubttuloCar"/>
    <w:qFormat/>
    <w:rsid w:val="00181B20"/>
    <w:pPr>
      <w:spacing w:line="360" w:lineRule="auto"/>
      <w:jc w:val="both"/>
    </w:pPr>
    <w:rPr>
      <w:rFonts w:ascii="Bookman Old Style" w:eastAsia="Times New Roman" w:hAnsi="Bookman Old Style" w:cs="Times New Roman"/>
      <w:b/>
      <w:kern w:val="18"/>
      <w:szCs w:val="20"/>
    </w:rPr>
  </w:style>
  <w:style w:type="character" w:customStyle="1" w:styleId="SubttuloCar">
    <w:name w:val="Subtítulo Car"/>
    <w:basedOn w:val="Fuentedeprrafopredeter"/>
    <w:link w:val="Subttulo"/>
    <w:rsid w:val="00181B20"/>
    <w:rPr>
      <w:rFonts w:ascii="Bookman Old Style" w:eastAsia="Times New Roman" w:hAnsi="Bookman Old Style" w:cs="Times New Roman"/>
      <w:b/>
      <w:kern w:val="18"/>
      <w:sz w:val="24"/>
      <w:szCs w:val="20"/>
      <w:lang w:val="es-ES" w:eastAsia="es-ES"/>
    </w:rPr>
  </w:style>
  <w:style w:type="character" w:customStyle="1" w:styleId="Ttulo2Car">
    <w:name w:val="Título 2 Car"/>
    <w:basedOn w:val="Fuentedeprrafopredeter"/>
    <w:link w:val="Ttulo2"/>
    <w:rsid w:val="00181B20"/>
    <w:rPr>
      <w:rFonts w:ascii="Arial" w:eastAsia="Times New Roman" w:hAnsi="Arial" w:cs="Times New Roman"/>
      <w:b/>
      <w:kern w:val="18"/>
      <w:sz w:val="24"/>
      <w:szCs w:val="20"/>
      <w:lang w:val="es-ES" w:eastAsia="es-ES"/>
    </w:rPr>
  </w:style>
  <w:style w:type="paragraph" w:styleId="Textoindependiente2">
    <w:name w:val="Body Text 2"/>
    <w:basedOn w:val="Normal"/>
    <w:link w:val="Textoindependiente2Car"/>
    <w:semiHidden/>
    <w:rsid w:val="00181B20"/>
    <w:pPr>
      <w:spacing w:line="360" w:lineRule="auto"/>
    </w:pPr>
    <w:rPr>
      <w:rFonts w:ascii="Bookman Old Style" w:eastAsia="Times New Roman" w:hAnsi="Bookman Old Style" w:cs="Times New Roman"/>
      <w:kern w:val="18"/>
      <w:szCs w:val="20"/>
    </w:rPr>
  </w:style>
  <w:style w:type="character" w:customStyle="1" w:styleId="Textoindependiente2Car">
    <w:name w:val="Texto independiente 2 Car"/>
    <w:basedOn w:val="Fuentedeprrafopredeter"/>
    <w:link w:val="Textoindependiente2"/>
    <w:semiHidden/>
    <w:rsid w:val="00181B20"/>
    <w:rPr>
      <w:rFonts w:ascii="Bookman Old Style" w:eastAsia="Times New Roman" w:hAnsi="Bookman Old Style" w:cs="Times New Roman"/>
      <w:kern w:val="18"/>
      <w:sz w:val="24"/>
      <w:szCs w:val="20"/>
      <w:lang w:val="es-ES" w:eastAsia="es-ES"/>
    </w:rPr>
  </w:style>
  <w:style w:type="character" w:styleId="Nmerodepgina">
    <w:name w:val="page number"/>
    <w:basedOn w:val="Fuentedeprrafopredeter"/>
    <w:semiHidden/>
    <w:rsid w:val="00181B20"/>
  </w:style>
  <w:style w:type="paragraph" w:styleId="NormalWeb">
    <w:name w:val="Normal (Web)"/>
    <w:basedOn w:val="Normal"/>
    <w:semiHidden/>
    <w:rsid w:val="00181B20"/>
    <w:pPr>
      <w:spacing w:before="100" w:after="100"/>
    </w:pPr>
    <w:rPr>
      <w:rFonts w:ascii="Arial Unicode MS" w:eastAsia="Arial Unicode MS" w:hAnsi="Arial Unicode M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9492A-19F3-45EA-ACA0-CB4C45BA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5241</Words>
  <Characters>29070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Expediente N° 2014-17-1-0005437</vt:lpstr>
    </vt:vector>
  </TitlesOfParts>
  <Company>Tribunal de Cuentas</Company>
  <LinksUpToDate>false</LinksUpToDate>
  <CharactersWithSpaces>34243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N° 2014-17-1-0005437</dc:title>
  <dc:subject/>
  <dc:creator>12495209</dc:creator>
  <cp:keywords/>
  <dc:description/>
  <cp:lastModifiedBy> </cp:lastModifiedBy>
  <cp:revision>5</cp:revision>
  <cp:lastPrinted>2014-11-19T14:13:00Z</cp:lastPrinted>
  <dcterms:created xsi:type="dcterms:W3CDTF">2014-11-17T18:10:00Z</dcterms:created>
  <dcterms:modified xsi:type="dcterms:W3CDTF">2014-12-09T17:07:00Z</dcterms:modified>
</cp:coreProperties>
</file>